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right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р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л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ж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№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к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Д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к</w:t>
      </w:r>
      <w:r>
        <w:rPr>
          <w:bCs/>
          <w:sz w:val="24"/>
          <w:szCs w:val="24"/>
          <w:highlight w:val="white"/>
        </w:rPr>
        <w:t xml:space="preserve">у</w:t>
      </w:r>
      <w:r>
        <w:rPr>
          <w:bCs/>
          <w:sz w:val="24"/>
          <w:szCs w:val="24"/>
          <w:highlight w:val="white"/>
        </w:rPr>
        <w:t xml:space="preserve">м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bCs/>
          <w:sz w:val="24"/>
          <w:szCs w:val="24"/>
          <w:highlight w:val="white"/>
        </w:rPr>
        <w:t xml:space="preserve">т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ц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и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з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к</w:t>
      </w:r>
      <w:r>
        <w:rPr>
          <w:bCs/>
          <w:sz w:val="24"/>
          <w:szCs w:val="24"/>
          <w:highlight w:val="white"/>
        </w:rPr>
        <w:t xml:space="preserve">у</w:t>
      </w: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к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</w:r>
    </w:p>
    <w:p>
      <w:pPr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                   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  <w:t xml:space="preserve">Технические требования на оказание услуг</w:t>
      </w: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</w:p>
    <w:p>
      <w:pPr>
        <w:pStyle w:val="856"/>
        <w:ind w:left="-108" w:right="-108" w:firstLine="0"/>
        <w:jc w:val="center"/>
        <w:spacing w:before="60" w:after="60" w:line="240" w:lineRule="auto"/>
        <w:widowControl w:val="o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  <w:t xml:space="preserve">ОКПД2   94.99.16 Оказание услуг по проведению соревнований оперативного персонала ТЭС АО "ДГК", Хабаровский край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left="-108" w:right="-108" w:firstLine="0"/>
        <w:jc w:val="center"/>
        <w:spacing w:before="60" w:after="60" w:line="240" w:lineRule="auto"/>
        <w:widowControl w:val="off"/>
        <w:rPr>
          <w:sz w:val="24"/>
          <w:szCs w:val="24"/>
          <w:highlight w:val="white"/>
        </w:rPr>
      </w:pPr>
      <w:r>
        <w:rPr>
          <w:rFonts w:eastAsia="Calibri"/>
          <w:b/>
          <w:bCs/>
          <w:sz w:val="24"/>
          <w:szCs w:val="24"/>
          <w:highlight w:val="white"/>
        </w:rPr>
        <w:t xml:space="preserve">Лот № </w:t>
      </w:r>
      <w:r>
        <w:rPr>
          <w:b/>
          <w:bCs/>
          <w:sz w:val="24"/>
          <w:szCs w:val="24"/>
          <w:highlight w:val="white"/>
          <w:lang w:eastAsia="en-US"/>
        </w:rPr>
        <w:t xml:space="preserve">90042045-ПРО ДЭК-2026-ДГК-ЦПП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bCs/>
          <w:i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bCs/>
          <w:i/>
          <w:sz w:val="24"/>
          <w:szCs w:val="24"/>
          <w:highlight w:val="white"/>
        </w:rPr>
      </w:r>
      <w:r>
        <w:rPr>
          <w:rFonts w:eastAsia="Calibri"/>
          <w:b/>
          <w:bCs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jc w:val="both"/>
        <w:keepLines/>
        <w:keepNext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br w:type="page" w:clear="all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СОДЕРЖАНИЕ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3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pPr>
      <w:r>
        <w:rPr>
          <w:b w:val="0"/>
          <w:i/>
          <w:sz w:val="24"/>
          <w:szCs w:val="24"/>
          <w:highlight w:val="white"/>
        </w:rPr>
        <w:fldChar w:fldCharType="begin"/>
      </w:r>
      <w:r>
        <w:rPr>
          <w:b w:val="0"/>
          <w:i/>
          <w:sz w:val="24"/>
          <w:szCs w:val="24"/>
          <w:highlight w:val="white"/>
        </w:rPr>
        <w:instrText xml:space="preserve"> TOC \o "1-4" \h \z \u </w:instrText>
      </w:r>
      <w:r>
        <w:rPr>
          <w:b w:val="0"/>
          <w:i/>
          <w:sz w:val="24"/>
          <w:szCs w:val="24"/>
          <w:highlight w:val="white"/>
        </w:rPr>
        <w:fldChar w:fldCharType="separate"/>
      </w:r>
      <w:hyperlink w:tooltip="#_Toc54643694" w:anchor="_Toc54643694" w:history="1">
        <w:r>
          <w:rPr>
            <w:rStyle w:val="1040"/>
            <w:sz w:val="24"/>
            <w:szCs w:val="24"/>
            <w:highlight w:val="white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4"/>
            <w:szCs w:val="24"/>
            <w:highlight w:val="white"/>
          </w:rPr>
          <w:tab/>
        </w:r>
        <w:r>
          <w:rPr>
            <w:rStyle w:val="1040"/>
            <w:sz w:val="24"/>
            <w:szCs w:val="24"/>
            <w:highlight w:val="white"/>
          </w:rPr>
          <w:t xml:space="preserve">Общие сведения</w:t>
        </w:r>
        <w:r>
          <w:rPr>
            <w:sz w:val="24"/>
            <w:szCs w:val="24"/>
            <w:highlight w:val="white"/>
          </w:rPr>
          <w:tab/>
          <w:t xml:space="preserve">3</w:t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</w:p>
    <w:p>
      <w:pPr>
        <w:pStyle w:val="1051"/>
        <w:rPr>
          <w:rFonts w:asciiTheme="minorHAnsi" w:hAnsiTheme="minorHAnsi" w:eastAsiaTheme="minorEastAsia" w:cstheme="minorBidi"/>
          <w:sz w:val="24"/>
          <w:szCs w:val="24"/>
          <w:highlight w:val="white"/>
        </w:rPr>
      </w:pPr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</w:p>
    <w:p>
      <w:pPr>
        <w:pStyle w:val="1051"/>
        <w:rPr>
          <w:rFonts w:asciiTheme="minorHAnsi" w:hAnsiTheme="minorHAnsi" w:eastAsiaTheme="minorEastAsia" w:cstheme="minorBid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hyperlink w:tooltip="#_Toc54643696" w:anchor="_Toc54643696" w:history="1">
        <w:r>
          <w:rPr>
            <w:rStyle w:val="1040"/>
            <w:iCs/>
            <w:sz w:val="24"/>
            <w:szCs w:val="24"/>
            <w:highlight w:val="white"/>
          </w:rPr>
          <w:t xml:space="preserve">1.1.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white"/>
          </w:rPr>
          <w:tab/>
        </w:r>
        <w:r>
          <w:rPr>
            <w:rStyle w:val="1040"/>
            <w:sz w:val="24"/>
            <w:szCs w:val="24"/>
            <w:highlight w:val="white"/>
          </w:rPr>
          <w:t xml:space="preserve">Наименование закупаемой продукции</w:t>
        </w:r>
        <w:r>
          <w:rPr>
            <w:sz w:val="24"/>
            <w:szCs w:val="24"/>
            <w:highlight w:val="white"/>
          </w:rPr>
          <w:tab/>
          <w:t xml:space="preserve">3</w:t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</w:p>
    <w:p>
      <w:pPr>
        <w:pStyle w:val="1051"/>
        <w:rPr>
          <w:rFonts w:asciiTheme="minorHAnsi" w:hAnsiTheme="minorHAnsi" w:eastAsiaTheme="minorEastAsia" w:cstheme="minorBid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hyperlink w:tooltip="#_Toc54643697" w:anchor="_Toc54643697" w:history="1">
        <w:r>
          <w:rPr>
            <w:rStyle w:val="1040"/>
            <w:iCs/>
            <w:sz w:val="24"/>
            <w:szCs w:val="24"/>
            <w:highlight w:val="white"/>
          </w:rPr>
          <w:t xml:space="preserve">1.2.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white"/>
          </w:rPr>
          <w:tab/>
        </w:r>
        <w:r>
          <w:rPr>
            <w:rStyle w:val="1040"/>
            <w:sz w:val="24"/>
            <w:szCs w:val="24"/>
            <w:highlight w:val="white"/>
          </w:rPr>
          <w:t xml:space="preserve">Цель оказания услуг </w:t>
        </w:r>
        <w:r>
          <w:rPr>
            <w:sz w:val="24"/>
            <w:szCs w:val="24"/>
            <w:highlight w:val="white"/>
          </w:rPr>
          <w:tab/>
          <w:t xml:space="preserve">3</w:t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</w:p>
    <w:p>
      <w:pPr>
        <w:pStyle w:val="1051"/>
        <w:rPr>
          <w:rFonts w:asciiTheme="minorHAnsi" w:hAnsiTheme="minorHAnsi" w:eastAsiaTheme="minorEastAsia" w:cstheme="minorBid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hyperlink w:tooltip="#_Toc54643698" w:anchor="_Toc54643698" w:history="1">
        <w:r>
          <w:rPr>
            <w:rStyle w:val="1040"/>
            <w:iCs/>
            <w:sz w:val="24"/>
            <w:szCs w:val="24"/>
            <w:highlight w:val="white"/>
          </w:rPr>
          <w:t xml:space="preserve">1.3.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white"/>
          </w:rPr>
          <w:tab/>
        </w:r>
        <w:r>
          <w:rPr>
            <w:rStyle w:val="1040"/>
            <w:sz w:val="24"/>
            <w:szCs w:val="24"/>
            <w:highlight w:val="white"/>
          </w:rPr>
          <w:t xml:space="preserve">Существующее положение </w:t>
        </w:r>
        <w:r>
          <w:rPr>
            <w:sz w:val="24"/>
            <w:szCs w:val="24"/>
            <w:highlight w:val="white"/>
          </w:rPr>
          <w:tab/>
          <w:t xml:space="preserve">3</w:t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</w:p>
    <w:p>
      <w:pPr>
        <w:pStyle w:val="103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hyperlink w:tooltip="#_Toc54643702" w:anchor="_Toc54643702" w:history="1">
        <w:r>
          <w:rPr>
            <w:rStyle w:val="1040"/>
            <w:sz w:val="24"/>
            <w:szCs w:val="24"/>
            <w:highlight w:val="white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4"/>
            <w:szCs w:val="24"/>
            <w:highlight w:val="white"/>
          </w:rPr>
          <w:tab/>
        </w:r>
        <w:r>
          <w:rPr>
            <w:rStyle w:val="1040"/>
            <w:iCs/>
            <w:sz w:val="24"/>
            <w:szCs w:val="24"/>
            <w:highlight w:val="white"/>
          </w:rPr>
          <w:t xml:space="preserve">Требования к продукции</w:t>
        </w:r>
        <w:r>
          <w:rPr>
            <w:sz w:val="24"/>
            <w:szCs w:val="24"/>
            <w:highlight w:val="white"/>
          </w:rPr>
          <w:tab/>
        </w:r>
        <w:r>
          <w:rPr>
            <w:sz w:val="24"/>
            <w:szCs w:val="24"/>
            <w:highlight w:val="white"/>
            <w:lang w:val="en-US"/>
          </w:rPr>
          <w:t xml:space="preserve">3</w:t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</w:p>
    <w:p>
      <w:pPr>
        <w:pStyle w:val="1051"/>
        <w:rPr>
          <w:rFonts w:asciiTheme="minorHAnsi" w:hAnsiTheme="minorHAnsi" w:eastAsiaTheme="minorEastAsia" w:cstheme="minorBid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hyperlink w:tooltip="#_Toc54643703" w:anchor="_Toc54643703" w:history="1">
        <w:r>
          <w:rPr>
            <w:rStyle w:val="1040"/>
            <w:iCs/>
            <w:sz w:val="24"/>
            <w:szCs w:val="24"/>
            <w:highlight w:val="white"/>
          </w:rPr>
          <w:t xml:space="preserve">2.1.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white"/>
          </w:rPr>
          <w:tab/>
        </w:r>
        <w:r>
          <w:rPr>
            <w:rStyle w:val="1040"/>
            <w:sz w:val="24"/>
            <w:szCs w:val="24"/>
            <w:highlight w:val="white"/>
          </w:rPr>
          <w:t xml:space="preserve">Требования к объемам и срокам оказания услуг</w:t>
        </w:r>
        <w:r>
          <w:rPr>
            <w:sz w:val="24"/>
            <w:szCs w:val="24"/>
            <w:highlight w:val="white"/>
          </w:rPr>
          <w:tab/>
        </w:r>
        <w:r>
          <w:rPr>
            <w:sz w:val="24"/>
            <w:szCs w:val="24"/>
            <w:highlight w:val="white"/>
            <w:lang w:val="en-US"/>
          </w:rPr>
          <w:t xml:space="preserve">3</w:t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</w:p>
    <w:p>
      <w:pPr>
        <w:pStyle w:val="1039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hyperlink w:tooltip="#_Toc54643704" w:anchor="_Toc54643704" w:history="1">
        <w:r>
          <w:rPr>
            <w:rStyle w:val="1040"/>
            <w:sz w:val="24"/>
            <w:szCs w:val="24"/>
            <w:highlight w:val="white"/>
          </w:rPr>
          <w:t xml:space="preserve">2.1.1.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white"/>
          </w:rPr>
          <w:tab/>
        </w:r>
        <w:r>
          <w:rPr>
            <w:rStyle w:val="1040"/>
            <w:sz w:val="24"/>
            <w:szCs w:val="24"/>
            <w:highlight w:val="white"/>
          </w:rPr>
          <w:t xml:space="preserve">Требования к перечню и объему услуг</w:t>
        </w:r>
        <w:r>
          <w:rPr>
            <w:sz w:val="24"/>
            <w:szCs w:val="24"/>
            <w:highlight w:val="white"/>
          </w:rPr>
          <w:tab/>
        </w:r>
        <w:r>
          <w:rPr>
            <w:sz w:val="24"/>
            <w:szCs w:val="24"/>
            <w:highlight w:val="white"/>
            <w:lang w:val="en-US"/>
          </w:rPr>
          <w:t xml:space="preserve">3</w:t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</w:p>
    <w:p>
      <w:pPr>
        <w:pStyle w:val="103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hyperlink w:tooltip="#_Toc54643705" w:anchor="_Toc54643705" w:history="1">
        <w:r>
          <w:rPr>
            <w:rStyle w:val="1040"/>
            <w:sz w:val="24"/>
            <w:szCs w:val="24"/>
            <w:highlight w:val="white"/>
          </w:rPr>
          <w:t xml:space="preserve">Таблица 2. Перечень и объем оказываемых услуг</w:t>
        </w:r>
        <w:r>
          <w:rPr>
            <w:sz w:val="24"/>
            <w:szCs w:val="24"/>
            <w:highlight w:val="white"/>
          </w:rPr>
          <w:tab/>
        </w:r>
        <w:r>
          <w:rPr>
            <w:sz w:val="24"/>
            <w:szCs w:val="24"/>
            <w:highlight w:val="white"/>
            <w:lang w:val="en-US"/>
          </w:rPr>
          <w:t xml:space="preserve">4</w:t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</w:p>
    <w:p>
      <w:pPr>
        <w:pStyle w:val="1039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hyperlink w:tooltip="#_Toc54643706" w:anchor="_Toc54643706" w:history="1">
        <w:r>
          <w:rPr>
            <w:rStyle w:val="1040"/>
            <w:sz w:val="24"/>
            <w:szCs w:val="24"/>
            <w:highlight w:val="white"/>
          </w:rPr>
          <w:t xml:space="preserve">2.1.2.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white"/>
          </w:rPr>
          <w:tab/>
        </w:r>
        <w:r>
          <w:rPr>
            <w:rStyle w:val="1040"/>
            <w:sz w:val="24"/>
            <w:szCs w:val="24"/>
            <w:highlight w:val="white"/>
          </w:rPr>
          <w:t xml:space="preserve">Требования к срокам оказания услуг</w:t>
        </w:r>
        <w:r>
          <w:rPr>
            <w:sz w:val="24"/>
            <w:szCs w:val="24"/>
            <w:highlight w:val="white"/>
          </w:rPr>
          <w:tab/>
        </w:r>
        <w:r>
          <w:rPr>
            <w:sz w:val="24"/>
            <w:szCs w:val="24"/>
            <w:highlight w:val="white"/>
            <w:lang w:val="en-US"/>
          </w:rPr>
          <w:t xml:space="preserve">4</w:t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</w:p>
    <w:p>
      <w:pPr>
        <w:pStyle w:val="103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hyperlink w:tooltip="#_Toc54643707" w:anchor="_Toc54643707" w:history="1">
        <w:r>
          <w:rPr>
            <w:rStyle w:val="1040"/>
            <w:sz w:val="24"/>
            <w:szCs w:val="24"/>
            <w:highlight w:val="white"/>
          </w:rPr>
          <w:t xml:space="preserve">Таблица 3. Требования к срокам оказания услуг</w:t>
        </w:r>
        <w:r>
          <w:rPr>
            <w:sz w:val="24"/>
            <w:szCs w:val="24"/>
            <w:highlight w:val="white"/>
          </w:rPr>
          <w:tab/>
        </w:r>
        <w:r>
          <w:rPr>
            <w:sz w:val="24"/>
            <w:szCs w:val="24"/>
            <w:highlight w:val="white"/>
            <w:lang w:val="en-US"/>
          </w:rPr>
          <w:t xml:space="preserve">5</w:t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</w:p>
    <w:p>
      <w:pPr>
        <w:pStyle w:val="1051"/>
        <w:rPr>
          <w:rFonts w:asciiTheme="minorHAnsi" w:hAnsiTheme="minorHAnsi" w:eastAsiaTheme="minorEastAsia" w:cstheme="minorBid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hyperlink w:tooltip="#_Toc54643708" w:anchor="_Toc54643708" w:history="1">
        <w:r>
          <w:rPr>
            <w:rStyle w:val="1040"/>
            <w:iCs/>
            <w:sz w:val="24"/>
            <w:szCs w:val="24"/>
            <w:highlight w:val="white"/>
          </w:rPr>
          <w:t xml:space="preserve">2.2.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white"/>
          </w:rPr>
          <w:tab/>
        </w:r>
        <w:r>
          <w:rPr>
            <w:rStyle w:val="1040"/>
            <w:sz w:val="24"/>
            <w:szCs w:val="24"/>
            <w:highlight w:val="white"/>
          </w:rPr>
          <w:t xml:space="preserve">Требования к качеству услуг</w:t>
        </w:r>
        <w:r>
          <w:rPr>
            <w:sz w:val="24"/>
            <w:szCs w:val="24"/>
            <w:highlight w:val="white"/>
          </w:rPr>
          <w:tab/>
        </w:r>
        <w:r>
          <w:rPr>
            <w:sz w:val="24"/>
            <w:szCs w:val="24"/>
            <w:highlight w:val="white"/>
            <w:lang w:val="en-US"/>
          </w:rPr>
          <w:t xml:space="preserve">5</w:t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white"/>
        </w:rPr>
      </w:r>
    </w:p>
    <w:p>
      <w:pPr>
        <w:pStyle w:val="103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hyperlink w:tooltip="#_Toc54643709" w:anchor="_Toc54643709" w:history="1">
        <w:r>
          <w:rPr>
            <w:rStyle w:val="1040"/>
            <w:sz w:val="24"/>
            <w:szCs w:val="24"/>
            <w:highlight w:val="white"/>
          </w:rPr>
          <w:t xml:space="preserve">3.</w:t>
        </w:r>
        <w:r>
          <w:rPr>
            <w:rStyle w:val="1040"/>
            <w:sz w:val="24"/>
            <w:szCs w:val="24"/>
            <w:highlight w:val="white"/>
            <w:lang w:val="en-US"/>
          </w:rPr>
          <w:t xml:space="preserve">     </w:t>
        </w:r>
        <w:r>
          <w:rPr>
            <w:rStyle w:val="1040"/>
            <w:sz w:val="24"/>
            <w:szCs w:val="24"/>
            <w:highlight w:val="white"/>
          </w:rPr>
          <w:t xml:space="preserve">Требования к документации по ценообразованию на этапе закупки</w:t>
        </w:r>
        <w:r>
          <w:rPr>
            <w:sz w:val="24"/>
            <w:szCs w:val="24"/>
            <w:highlight w:val="white"/>
          </w:rPr>
          <w:tab/>
        </w:r>
        <w:r>
          <w:rPr>
            <w:sz w:val="24"/>
            <w:szCs w:val="24"/>
            <w:highlight w:val="white"/>
            <w:lang w:val="en-US"/>
          </w:rPr>
          <w:t xml:space="preserve">9</w:t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</w:p>
    <w:p>
      <w:pPr>
        <w:pStyle w:val="1038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en-US"/>
        </w:rPr>
        <w:t xml:space="preserve">4</w:t>
      </w:r>
      <w:hyperlink w:tooltip="#_Toc54643712" w:anchor="_Toc54643712" w:history="1">
        <w:r>
          <w:rPr>
            <w:rStyle w:val="1040"/>
            <w:sz w:val="24"/>
            <w:szCs w:val="24"/>
            <w:highlight w:val="white"/>
          </w:rPr>
          <w:t xml:space="preserve">.</w:t>
        </w:r>
        <w:r>
          <w:rPr>
            <w:rFonts w:asciiTheme="minorHAnsi" w:hAnsiTheme="minorHAnsi" w:eastAsiaTheme="minorEastAsia" w:cstheme="minorBidi"/>
            <w:b w:val="0"/>
            <w:bCs w:val="0"/>
            <w:sz w:val="24"/>
            <w:szCs w:val="24"/>
            <w:highlight w:val="white"/>
          </w:rPr>
          <w:tab/>
        </w:r>
        <w:r>
          <w:rPr>
            <w:rStyle w:val="1040"/>
            <w:iCs/>
            <w:sz w:val="24"/>
            <w:szCs w:val="24"/>
            <w:highlight w:val="white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sz w:val="24"/>
            <w:szCs w:val="24"/>
            <w:highlight w:val="white"/>
          </w:rPr>
          <w:tab/>
        </w:r>
        <w:r>
          <w:rPr>
            <w:sz w:val="24"/>
            <w:szCs w:val="24"/>
            <w:highlight w:val="white"/>
            <w:lang w:val="en-US"/>
          </w:rPr>
          <w:t xml:space="preserve">9</w:t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</w:p>
    <w:p>
      <w:pPr>
        <w:pStyle w:val="1038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pP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white"/>
        </w:rPr>
      </w:r>
    </w:p>
    <w:p>
      <w:pPr>
        <w:pStyle w:val="858"/>
        <w:numPr>
          <w:ilvl w:val="0"/>
          <w:numId w:val="0"/>
        </w:numPr>
        <w:tabs>
          <w:tab w:val="left" w:pos="1373" w:leader="none"/>
        </w:tabs>
        <w:rPr>
          <w:b w:val="0"/>
          <w:i/>
          <w:sz w:val="24"/>
          <w:szCs w:val="24"/>
          <w:highlight w:val="white"/>
        </w:rPr>
      </w:pPr>
      <w:r>
        <w:rPr>
          <w:rFonts w:eastAsia="Times New Roman" w:cs="calibri light (Заголовки)"/>
          <w:b w:val="0"/>
          <w:i/>
          <w:sz w:val="24"/>
          <w:szCs w:val="24"/>
          <w:highlight w:val="white"/>
        </w:rPr>
        <w:fldChar w:fldCharType="end"/>
      </w:r>
      <w:r>
        <w:rPr>
          <w:b w:val="0"/>
          <w:i/>
          <w:sz w:val="24"/>
          <w:szCs w:val="24"/>
          <w:highlight w:val="white"/>
        </w:rPr>
        <w:tab/>
      </w:r>
      <w:r>
        <w:rPr>
          <w:b w:val="0"/>
          <w:i/>
          <w:sz w:val="24"/>
          <w:szCs w:val="24"/>
          <w:highlight w:val="white"/>
        </w:rPr>
      </w:r>
      <w:r>
        <w:rPr>
          <w:b w:val="0"/>
          <w:i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  <w:br w:type="page" w:clear="all"/>
      </w:r>
      <w:r>
        <w:rPr>
          <w:rFonts w:eastAsia="Calibri"/>
          <w:b/>
          <w:i/>
          <w:sz w:val="24"/>
          <w:szCs w:val="24"/>
          <w:highlight w:val="white"/>
        </w:rPr>
      </w: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pStyle w:val="857"/>
        <w:ind w:left="142" w:firstLine="0"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Общие сведения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6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0" w:name="_Toc54643696"/>
      <w:r>
        <w:rPr>
          <w:sz w:val="24"/>
          <w:szCs w:val="24"/>
          <w:highlight w:val="white"/>
        </w:rPr>
        <w:t xml:space="preserve">Наименование закупаемой продукции</w:t>
      </w:r>
      <w:bookmarkEnd w:id="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56"/>
        <w:ind w:left="-108" w:right="-108" w:firstLine="0"/>
        <w:jc w:val="left"/>
        <w:spacing w:before="60" w:after="60" w:line="240" w:lineRule="auto"/>
        <w:widowControl w:val="off"/>
        <w:rPr>
          <w:b/>
          <w:bCs/>
          <w:sz w:val="24"/>
          <w:szCs w:val="24"/>
          <w:highlight w:val="white"/>
        </w:rPr>
      </w:pPr>
      <w:r>
        <w:rPr>
          <w:b w:val="0"/>
          <w:bCs w:val="0"/>
          <w:i/>
          <w:iCs/>
          <w:sz w:val="24"/>
          <w:szCs w:val="24"/>
          <w:highlight w:val="white"/>
        </w:rPr>
      </w:r>
      <w:r>
        <w:rPr>
          <w:b w:val="0"/>
          <w:bCs w:val="0"/>
          <w:i/>
          <w:iCs/>
          <w:sz w:val="24"/>
          <w:szCs w:val="24"/>
          <w:highlight w:val="white"/>
        </w:rPr>
        <w:t xml:space="preserve">ОКПД2   94.99.16 Оказание услуг по проведению соревнований оперативного персонала ТЭС АО "ДГК"</w:t>
      </w:r>
      <w:r>
        <w:rPr>
          <w:sz w:val="24"/>
          <w:szCs w:val="24"/>
          <w:highlight w:val="white"/>
        </w:rPr>
      </w:r>
      <w:bookmarkStart w:id="1" w:name="_Toc46743507"/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860"/>
        <w:ind w:left="431" w:hanging="431"/>
        <w:spacing w:before="24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" w:name="_Toc54643697"/>
      <w:r>
        <w:rPr>
          <w:sz w:val="24"/>
          <w:szCs w:val="24"/>
          <w:highlight w:val="white"/>
        </w:rPr>
        <w:t xml:space="preserve">Цель </w:t>
      </w:r>
      <w:bookmarkEnd w:id="1"/>
      <w:r>
        <w:rPr>
          <w:sz w:val="24"/>
          <w:szCs w:val="24"/>
          <w:highlight w:val="white"/>
        </w:rPr>
        <w:t xml:space="preserve">оказания услуг </w:t>
      </w:r>
      <w:bookmarkEnd w:id="2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i/>
          <w:iCs/>
          <w:sz w:val="24"/>
          <w:szCs w:val="24"/>
          <w:highlight w:val="white"/>
        </w:rPr>
        <w:t xml:space="preserve">Повышение профессионального мастерства работников, совершенствование организации труда, повышение корпоративной культуры.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6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" w:name="_Toc46743508"/>
      <w:r>
        <w:rPr>
          <w:sz w:val="24"/>
          <w:szCs w:val="24"/>
          <w:highlight w:val="white"/>
        </w:rPr>
        <w:t xml:space="preserve">Существующее положение</w:t>
      </w:r>
      <w:bookmarkEnd w:id="3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i/>
          <w:iCs/>
          <w:sz w:val="24"/>
          <w:szCs w:val="24"/>
          <w:highlight w:val="white"/>
        </w:rPr>
      </w:pPr>
      <w:r>
        <w:rPr>
          <w:i/>
          <w:iCs/>
          <w:sz w:val="24"/>
          <w:szCs w:val="24"/>
          <w:highlight w:val="white"/>
        </w:rPr>
        <w:t xml:space="preserve">Отсутствует.</w:t>
      </w:r>
      <w:r>
        <w:rPr>
          <w:i/>
          <w:iCs/>
          <w:sz w:val="24"/>
          <w:szCs w:val="24"/>
          <w:highlight w:val="white"/>
        </w:rPr>
      </w:r>
      <w:r>
        <w:rPr>
          <w:i/>
          <w:iCs/>
          <w:sz w:val="24"/>
          <w:szCs w:val="24"/>
          <w:highlight w:val="white"/>
        </w:rPr>
      </w:r>
    </w:p>
    <w:p>
      <w:pPr>
        <w:pStyle w:val="857"/>
        <w:ind w:left="357" w:hanging="357"/>
        <w:jc w:val="center"/>
        <w:keepLines/>
        <w:rPr>
          <w:iCs/>
          <w:cap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4" w:name="_Toc51339693"/>
      <w:r>
        <w:rPr>
          <w:sz w:val="24"/>
          <w:szCs w:val="24"/>
          <w:highlight w:val="white"/>
        </w:rPr>
      </w:r>
      <w:bookmarkStart w:id="5" w:name="_Toc54643702"/>
      <w:r>
        <w:rPr>
          <w:iCs/>
          <w:sz w:val="24"/>
          <w:szCs w:val="24"/>
          <w:highlight w:val="white"/>
        </w:rPr>
        <w:t xml:space="preserve">Требования к</w:t>
      </w:r>
      <w:r>
        <w:rPr>
          <w:iCs/>
          <w:sz w:val="24"/>
          <w:szCs w:val="24"/>
          <w:highlight w:val="white"/>
        </w:rPr>
        <w:t xml:space="preserve"> </w:t>
      </w:r>
      <w:r>
        <w:rPr>
          <w:iCs/>
          <w:sz w:val="24"/>
          <w:szCs w:val="24"/>
          <w:highlight w:val="white"/>
        </w:rPr>
        <w:t xml:space="preserve">о</w:t>
      </w:r>
      <w:r>
        <w:rPr>
          <w:iCs/>
          <w:sz w:val="24"/>
          <w:szCs w:val="24"/>
          <w:highlight w:val="white"/>
        </w:rPr>
        <w:t xml:space="preserve">к</w:t>
      </w:r>
      <w:r>
        <w:rPr>
          <w:iCs/>
          <w:sz w:val="24"/>
          <w:szCs w:val="24"/>
          <w:highlight w:val="white"/>
        </w:rPr>
        <w:t xml:space="preserve">а</w:t>
      </w:r>
      <w:r>
        <w:rPr>
          <w:iCs/>
          <w:sz w:val="24"/>
          <w:szCs w:val="24"/>
          <w:highlight w:val="white"/>
        </w:rPr>
        <w:t xml:space="preserve">з</w:t>
      </w:r>
      <w:r>
        <w:rPr>
          <w:iCs/>
          <w:sz w:val="24"/>
          <w:szCs w:val="24"/>
          <w:highlight w:val="white"/>
        </w:rPr>
        <w:t xml:space="preserve">ы</w:t>
      </w:r>
      <w:r>
        <w:rPr>
          <w:iCs/>
          <w:sz w:val="24"/>
          <w:szCs w:val="24"/>
          <w:highlight w:val="white"/>
        </w:rPr>
        <w:t xml:space="preserve">в</w:t>
      </w:r>
      <w:r>
        <w:rPr>
          <w:iCs/>
          <w:sz w:val="24"/>
          <w:szCs w:val="24"/>
          <w:highlight w:val="white"/>
        </w:rPr>
        <w:t xml:space="preserve">а</w:t>
      </w:r>
      <w:r>
        <w:rPr>
          <w:iCs/>
          <w:sz w:val="24"/>
          <w:szCs w:val="24"/>
          <w:highlight w:val="white"/>
        </w:rPr>
        <w:t xml:space="preserve">е</w:t>
      </w:r>
      <w:r>
        <w:rPr>
          <w:iCs/>
          <w:sz w:val="24"/>
          <w:szCs w:val="24"/>
          <w:highlight w:val="white"/>
        </w:rPr>
        <w:t xml:space="preserve">м</w:t>
      </w:r>
      <w:r>
        <w:rPr>
          <w:iCs/>
          <w:sz w:val="24"/>
          <w:szCs w:val="24"/>
          <w:highlight w:val="white"/>
        </w:rPr>
        <w:t xml:space="preserve">о</w:t>
      </w:r>
      <w:r>
        <w:rPr>
          <w:iCs/>
          <w:sz w:val="24"/>
          <w:szCs w:val="24"/>
          <w:highlight w:val="white"/>
        </w:rPr>
        <w:t xml:space="preserve">й</w:t>
      </w:r>
      <w:r>
        <w:rPr>
          <w:iCs/>
          <w:sz w:val="24"/>
          <w:szCs w:val="24"/>
          <w:highlight w:val="white"/>
        </w:rPr>
        <w:t xml:space="preserve"> </w:t>
      </w:r>
      <w:r>
        <w:rPr>
          <w:iCs/>
          <w:sz w:val="24"/>
          <w:szCs w:val="24"/>
          <w:highlight w:val="white"/>
        </w:rPr>
        <w:t xml:space="preserve">у</w:t>
      </w:r>
      <w:r>
        <w:rPr>
          <w:iCs/>
          <w:sz w:val="24"/>
          <w:szCs w:val="24"/>
          <w:highlight w:val="white"/>
        </w:rPr>
        <w:t xml:space="preserve">с</w:t>
      </w:r>
      <w:r>
        <w:rPr>
          <w:iCs/>
          <w:sz w:val="24"/>
          <w:szCs w:val="24"/>
          <w:highlight w:val="white"/>
        </w:rPr>
        <w:t xml:space="preserve">л</w:t>
      </w:r>
      <w:r>
        <w:rPr>
          <w:iCs/>
          <w:sz w:val="24"/>
          <w:szCs w:val="24"/>
          <w:highlight w:val="white"/>
        </w:rPr>
        <w:t xml:space="preserve">у</w:t>
      </w:r>
      <w:r>
        <w:rPr>
          <w:iCs/>
          <w:sz w:val="24"/>
          <w:szCs w:val="24"/>
          <w:highlight w:val="white"/>
        </w:rPr>
        <w:t xml:space="preserve">г</w:t>
      </w:r>
      <w:r>
        <w:rPr>
          <w:iCs/>
          <w:sz w:val="24"/>
          <w:szCs w:val="24"/>
          <w:highlight w:val="white"/>
        </w:rPr>
        <w:t xml:space="preserve">е</w:t>
      </w:r>
      <w:bookmarkEnd w:id="4"/>
      <w:r>
        <w:rPr>
          <w:sz w:val="24"/>
          <w:szCs w:val="24"/>
          <w:highlight w:val="white"/>
        </w:rPr>
      </w:r>
      <w:bookmarkEnd w:id="5"/>
      <w:r>
        <w:rPr>
          <w:iCs/>
          <w:caps/>
          <w:sz w:val="24"/>
          <w:szCs w:val="24"/>
          <w:highlight w:val="white"/>
        </w:rPr>
      </w:r>
      <w:r>
        <w:rPr>
          <w:iCs/>
          <w:caps/>
          <w:sz w:val="24"/>
          <w:szCs w:val="24"/>
          <w:highlight w:val="white"/>
        </w:rPr>
      </w:r>
    </w:p>
    <w:p>
      <w:pPr>
        <w:pStyle w:val="86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6" w:name="_Toc54643703"/>
      <w:r>
        <w:rPr>
          <w:sz w:val="24"/>
          <w:szCs w:val="24"/>
          <w:highlight w:val="white"/>
        </w:rPr>
        <w:t xml:space="preserve">Требования к объемам и срокам оказания услуг</w:t>
      </w:r>
      <w:bookmarkEnd w:id="6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5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7" w:name="_Toc54643704"/>
      <w:r>
        <w:rPr>
          <w:sz w:val="24"/>
          <w:szCs w:val="24"/>
          <w:highlight w:val="white"/>
        </w:rPr>
        <w:t xml:space="preserve">Требования к перечню и объему услуг</w:t>
      </w:r>
      <w:bookmarkEnd w:id="7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57"/>
        <w:numPr>
          <w:ilvl w:val="0"/>
          <w:numId w:val="0"/>
        </w:numPr>
        <w:keepLines/>
        <w:spacing w:before="24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8" w:name="_Toc51339695"/>
      <w:r>
        <w:rPr>
          <w:sz w:val="24"/>
          <w:szCs w:val="24"/>
          <w:highlight w:val="white"/>
        </w:rPr>
      </w:r>
      <w:bookmarkStart w:id="9" w:name="_Toc54643705"/>
      <w:r>
        <w:rPr>
          <w:sz w:val="24"/>
          <w:szCs w:val="24"/>
          <w:highlight w:val="white"/>
        </w:rPr>
        <w:t xml:space="preserve">Таблица 1. Перечень </w:t>
      </w:r>
      <w:bookmarkEnd w:id="8"/>
      <w:r>
        <w:rPr>
          <w:sz w:val="24"/>
          <w:szCs w:val="24"/>
          <w:highlight w:val="white"/>
        </w:rPr>
        <w:t xml:space="preserve">и объем оказываемых</w:t>
      </w:r>
      <w:bookmarkEnd w:id="9"/>
      <w:r>
        <w:rPr>
          <w:sz w:val="24"/>
          <w:szCs w:val="24"/>
          <w:highlight w:val="white"/>
        </w:rPr>
        <w:t xml:space="preserve"> услуг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8347"/>
      </w:tblGrid>
      <w:tr>
        <w:tblPrEx/>
        <w:trPr/>
        <w:tc>
          <w:tcPr>
            <w:tcW w:w="146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№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п/п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услуг / этапа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46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5"/>
        </w:trPr>
        <w:tc>
          <w:tcPr>
            <w:tcW w:w="1463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textDirection w:val="lrTb"/>
            <w:noWrap w:val="false"/>
          </w:tcPr>
          <w:p>
            <w:pPr>
              <w:pStyle w:val="1129"/>
              <w:ind w:firstLine="0"/>
              <w:jc w:val="both"/>
              <w:spacing w:before="5" w:line="240" w:lineRule="auto"/>
              <w:widowControl/>
              <w:rPr>
                <w:sz w:val="24"/>
                <w:szCs w:val="24"/>
                <w:highlight w:val="white"/>
              </w:rPr>
            </w:pPr>
            <w:r>
              <w:rPr>
                <w:rStyle w:val="1128"/>
                <w:sz w:val="24"/>
                <w:szCs w:val="24"/>
                <w:highlight w:val="white"/>
              </w:rPr>
              <w:t xml:space="preserve">Разработка </w:t>
            </w:r>
            <w:r>
              <w:rPr>
                <w:rStyle w:val="1128"/>
                <w:sz w:val="24"/>
                <w:szCs w:val="24"/>
                <w:highlight w:val="white"/>
              </w:rPr>
              <w:t xml:space="preserve">сценария проведения </w:t>
            </w:r>
            <w:r>
              <w:rPr>
                <w:rStyle w:val="1128"/>
                <w:sz w:val="24"/>
                <w:szCs w:val="24"/>
                <w:highlight w:val="white"/>
              </w:rPr>
              <w:t xml:space="preserve">Конкурса</w:t>
            </w:r>
            <w:r>
              <w:rPr>
                <w:rStyle w:val="1128"/>
                <w:sz w:val="24"/>
                <w:szCs w:val="24"/>
                <w:highlight w:val="white"/>
              </w:rPr>
              <w:t xml:space="preserve"> на основании Положений об этапах разработанных Заказчиком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5"/>
        </w:trPr>
        <w:tc>
          <w:tcPr>
            <w:tcW w:w="1463" w:type="dxa"/>
            <w:vAlign w:val="center"/>
            <w:vMerge w:val="restart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vMerge w:val="restart"/>
            <w:textDirection w:val="lrTb"/>
            <w:noWrap w:val="false"/>
          </w:tcPr>
          <w:p>
            <w:pPr>
              <w:pStyle w:val="1129"/>
              <w:ind w:firstLine="0"/>
              <w:jc w:val="both"/>
              <w:spacing w:before="5" w:line="240" w:lineRule="auto"/>
              <w:widowControl/>
              <w:rPr>
                <w:rStyle w:val="1128"/>
                <w:sz w:val="24"/>
                <w:szCs w:val="24"/>
                <w:highlight w:val="white"/>
              </w:rPr>
            </w:pPr>
            <w:r>
              <w:rPr>
                <w:rStyle w:val="1128"/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Организация проживания и питания (трёх разовое) участников соревнований и судей в формате гостиничных номеров территориально расположенных в едином комплексе. </w:t>
            </w:r>
            <w:r>
              <w:rPr>
                <w:rStyle w:val="1128"/>
                <w:sz w:val="24"/>
                <w:szCs w:val="24"/>
                <w:highlight w:val="white"/>
              </w:rPr>
            </w:r>
            <w:r>
              <w:rPr>
                <w:rStyle w:val="1128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55"/>
        </w:trPr>
        <w:tc>
          <w:tcPr>
            <w:tcW w:w="1463" w:type="dxa"/>
            <w:vAlign w:val="center"/>
            <w:vMerge w:val="restart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vMerge w:val="restart"/>
            <w:textDirection w:val="lrTb"/>
            <w:noWrap w:val="false"/>
          </w:tcPr>
          <w:p>
            <w:pPr>
              <w:pStyle w:val="1119"/>
              <w:contextualSpacing/>
              <w:spacing w:before="0" w:beforeAutospacing="0" w:after="0" w:afterAutospacing="0" w:line="240" w:lineRule="auto"/>
              <w:shd w:val="clear" w:color="auto" w:fill="ffffff"/>
              <w:rPr>
                <w:rFonts w:asciiTheme="minorHAnsi" w:hAnsiTheme="minorHAnsi" w:cstheme="minorHAnsi"/>
                <w:color w:val="ff0000"/>
                <w:sz w:val="24"/>
                <w:szCs w:val="24"/>
                <w:highlight w:val="white"/>
              </w:rPr>
            </w:pPr>
            <w:r>
              <w:rPr>
                <w:rStyle w:val="1128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Предоставление помещений и площадок для проведения этапов (8 этапов) соревнований. Э</w:t>
            </w:r>
            <w:r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тапы соревнований проводятся на единой территории. Организатор обязуется обеспечить бесперебойный трансфер участников и судей от места проживания до площадок и обратно, включая перевозку на обед</w:t>
            </w:r>
            <w:r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  <w:highlight w:val="white"/>
              </w:rPr>
            </w:r>
            <w:r>
              <w:rPr>
                <w:rFonts w:asciiTheme="minorHAnsi" w:hAnsiTheme="minorHAnsi" w:cstheme="minorHAnsi"/>
                <w:color w:val="ff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9"/>
        </w:trPr>
        <w:tc>
          <w:tcPr>
            <w:tcW w:w="1463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textDirection w:val="lrTb"/>
            <w:noWrap w:val="false"/>
          </w:tcPr>
          <w:p>
            <w:pPr>
              <w:rPr>
                <w:rStyle w:val="1128"/>
                <w:sz w:val="24"/>
                <w:szCs w:val="24"/>
                <w:highlight w:val="white"/>
              </w:rPr>
            </w:pPr>
            <w:r>
              <w:rPr>
                <w:rStyle w:val="1128"/>
                <w:sz w:val="24"/>
                <w:szCs w:val="24"/>
                <w:highlight w:val="white"/>
              </w:rPr>
              <w:t xml:space="preserve">Организация церемонии открытия и закрытия Конкурса (разработка сценария и проведение мер</w:t>
            </w:r>
            <w:r>
              <w:rPr>
                <w:rStyle w:val="1128"/>
                <w:sz w:val="24"/>
                <w:szCs w:val="24"/>
                <w:highlight w:val="white"/>
              </w:rPr>
              <w:t xml:space="preserve">оприятия, координация действий участников и вспомогательного персонала).  </w:t>
            </w:r>
            <w:r>
              <w:rPr>
                <w:rStyle w:val="1128"/>
                <w:sz w:val="24"/>
                <w:szCs w:val="24"/>
                <w:highlight w:val="white"/>
              </w:rPr>
            </w:r>
            <w:r>
              <w:rPr>
                <w:rStyle w:val="1128"/>
                <w:sz w:val="24"/>
                <w:szCs w:val="24"/>
                <w:highlight w:val="white"/>
              </w:rPr>
            </w:r>
          </w:p>
          <w:p>
            <w:pPr>
              <w:pStyle w:val="1119"/>
              <w:spacing w:before="0" w:beforeAutospacing="0" w:after="0" w:afterAutospacing="0" w:line="240" w:lineRule="auto"/>
              <w:shd w:val="clear" w:color="auto" w:fill="ffffff"/>
              <w:rPr>
                <w:rFonts w:ascii="Times New Roman" w:hAnsi="Times New Roman" w:cs="Times New Roman" w:asciiTheme="minorHAnsi" w:hAnsiTheme="minorHAnsi" w:cstheme="minorHAnsi"/>
                <w:color w:val="ff0000" w:themeColor="text1"/>
                <w:sz w:val="24"/>
                <w:szCs w:val="24"/>
                <w:highlight w:val="white"/>
              </w:rPr>
            </w:pPr>
            <w:r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Продолжительность церемонии открытия 15-30 минут, число выступающих до 9 человек.</w:t>
            </w:r>
            <w:r>
              <w:rPr>
                <w:rFonts w:ascii="Times New Roman" w:hAnsi="Times New Roman" w:cs="Times New Roman" w:asciiTheme="minorHAnsi" w:hAnsiTheme="minorHAnsi" w:cstheme="minorHAnsi"/>
                <w:color w:val="ff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 w:asciiTheme="minorHAnsi" w:hAnsiTheme="minorHAnsi" w:cstheme="minorHAnsi"/>
                <w:color w:val="ff0000" w:themeColor="text1"/>
                <w:sz w:val="24"/>
                <w:szCs w:val="24"/>
                <w:highlight w:val="white"/>
              </w:rPr>
            </w:r>
          </w:p>
          <w:p>
            <w:pPr>
              <w:pStyle w:val="1119"/>
              <w:spacing w:before="0" w:beforeAutospacing="0" w:after="0" w:afterAutospacing="0" w:line="240" w:lineRule="auto"/>
              <w:shd w:val="clear" w:color="auto" w:fill="ffffff"/>
              <w:rPr>
                <w:rFonts w:ascii="Times New Roman" w:hAnsi="Times New Roman" w:cs="Times New Roman" w:asciiTheme="minorHAnsi" w:hAnsiTheme="minorHAnsi" w:cstheme="minorHAnsi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Продолжительность церемонии</w:t>
            </w:r>
            <w:r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закрытия 30-60 минут, число выступающих до 9 человек, без учёта награждаемых</w:t>
            </w:r>
            <w:r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 w:asciiTheme="minorHAnsi" w:hAnsiTheme="minorHAnsi" w:cstheme="minorHAnsi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 w:asciiTheme="minorHAnsi" w:hAnsiTheme="minorHAnsi" w:cstheme="minorHAnsi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W w:w="1463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rStyle w:val="1128"/>
                <w:sz w:val="24"/>
                <w:szCs w:val="24"/>
                <w:highlight w:val="white"/>
              </w:rPr>
              <w:t xml:space="preserve">Разработка и </w:t>
            </w:r>
            <w:r>
              <w:rPr>
                <w:sz w:val="24"/>
                <w:szCs w:val="24"/>
                <w:highlight w:val="white"/>
              </w:rPr>
              <w:t xml:space="preserve">изготовление дизайн-макетов печатной продукции и элементов оформления, верстка макетов, подготовка к печати, визуализация</w:t>
            </w:r>
            <w:r>
              <w:rPr>
                <w:rStyle w:val="1128"/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W w:w="1463" w:type="dxa"/>
            <w:vAlign w:val="center"/>
            <w:vMerge w:val="restart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vMerge w:val="restart"/>
            <w:textDirection w:val="lrTb"/>
            <w:noWrap w:val="false"/>
          </w:tcPr>
          <w:p>
            <w:pPr>
              <w:ind w:left="57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Оформление мероприятия: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57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Бейдж</w:t>
            </w:r>
            <w:r>
              <w:rPr>
                <w:sz w:val="24"/>
                <w:szCs w:val="24"/>
                <w:highlight w:val="white"/>
              </w:rPr>
              <w:t xml:space="preserve"> с лентой</w:t>
            </w:r>
            <w:r>
              <w:rPr>
                <w:sz w:val="24"/>
                <w:szCs w:val="24"/>
                <w:highlight w:val="white"/>
              </w:rPr>
              <w:t xml:space="preserve"> для участников конкурса, судейской бригады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57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Шариковые ручки с эмблемой компании (пластиковая, технология soft-touch и двойного литья)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57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Изготовление и монтаж баннерного панно </w:t>
            </w:r>
            <w:r>
              <w:rPr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  <w:t xml:space="preserve"> шт.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57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деревянный каркас </w:t>
            </w:r>
            <w:r>
              <w:rPr>
                <w:sz w:val="24"/>
                <w:szCs w:val="24"/>
                <w:highlight w:val="white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  <w:t xml:space="preserve">000*3000 мм, верстка макета, материал баннерная ткань, плотность 440 г/м.кв.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57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Обеспечение профессиональным звуковым и световым оборудованием </w:t>
            </w:r>
            <w:r>
              <w:rPr>
                <w:sz w:val="24"/>
                <w:szCs w:val="24"/>
                <w:highlight w:val="white"/>
              </w:rPr>
              <w:t xml:space="preserve">на объектах,</w:t>
            </w:r>
            <w:r>
              <w:rPr>
                <w:sz w:val="24"/>
                <w:szCs w:val="24"/>
                <w:highlight w:val="white"/>
              </w:rPr>
              <w:t xml:space="preserve"> имеющих отношение к местам проведения соревнований)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57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Блокнот с эмблемой компании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57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папка А4 с эмблемой компании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57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флаги (таблички) на древке согласно участвующим структурным подразделениям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982"/>
        </w:trPr>
        <w:tc>
          <w:tcPr>
            <w:tcW w:w="1463" w:type="dxa"/>
            <w:vAlign w:val="center"/>
            <w:vMerge w:val="restart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rStyle w:val="1128"/>
                <w:sz w:val="24"/>
                <w:szCs w:val="24"/>
                <w:highlight w:val="white"/>
              </w:rPr>
              <w:t xml:space="preserve">Обеспечение наградным материалом (медали и грамоты в личных первенствах (I, II, III места), медали и дипломы в командных первенствах (I, II, III места), кубки и дипломы в общекомандном зачете по итогам Конкурса (I, II, III места)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9"/>
        </w:trPr>
        <w:tc>
          <w:tcPr>
            <w:tcW w:w="1463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rStyle w:val="1128"/>
                <w:sz w:val="24"/>
                <w:szCs w:val="24"/>
                <w:highlight w:val="white"/>
              </w:rPr>
              <w:t xml:space="preserve">Обеспечение фото- и видеосъемки конкурса (видеоролик продолжительностью не менее 5 минут и 100 фотографий по каждому этапу соревнований и церемонии открытия и закрытия конкурса)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9"/>
        </w:trPr>
        <w:tc>
          <w:tcPr>
            <w:tcW w:w="1463" w:type="dxa"/>
            <w:vAlign w:val="center"/>
            <w:vMerge w:val="restart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vMerge w:val="restart"/>
            <w:textDirection w:val="lrTb"/>
            <w:noWrap w:val="false"/>
          </w:tcPr>
          <w:p>
            <w:pPr>
              <w:rPr>
                <w:rStyle w:val="1128"/>
                <w:sz w:val="24"/>
                <w:szCs w:val="24"/>
                <w:highlight w:val="white"/>
              </w:rPr>
            </w:pPr>
            <w:r>
              <w:rPr>
                <w:rStyle w:val="1128"/>
                <w:sz w:val="24"/>
                <w:szCs w:val="24"/>
                <w:highlight w:val="white"/>
              </w:rPr>
              <w:t xml:space="preserve">Организация трансфера участников соревнований при заезде выезде в гостиничном комплексе и между этапами</w:t>
            </w:r>
            <w:r>
              <w:rPr>
                <w:rStyle w:val="1128"/>
                <w:sz w:val="24"/>
                <w:szCs w:val="24"/>
                <w:highlight w:val="white"/>
              </w:rPr>
            </w:r>
            <w:r>
              <w:rPr>
                <w:rStyle w:val="1128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9"/>
        </w:trPr>
        <w:tc>
          <w:tcPr>
            <w:tcW w:w="1463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textDirection w:val="lrTb"/>
            <w:noWrap w:val="false"/>
          </w:tcPr>
          <w:p>
            <w:pPr>
              <w:rPr>
                <w:rStyle w:val="1128"/>
                <w:sz w:val="24"/>
                <w:szCs w:val="24"/>
                <w:highlight w:val="white"/>
              </w:rPr>
            </w:pPr>
            <w:r>
              <w:rPr>
                <w:rStyle w:val="1128"/>
                <w:sz w:val="24"/>
                <w:szCs w:val="24"/>
                <w:highlight w:val="white"/>
              </w:rPr>
              <w:t xml:space="preserve">Вода бутилированная 0,5 л. (3000 шт)</w:t>
            </w:r>
            <w:r>
              <w:rPr>
                <w:rStyle w:val="1128"/>
                <w:sz w:val="24"/>
                <w:szCs w:val="24"/>
                <w:highlight w:val="white"/>
              </w:rPr>
            </w:r>
            <w:r>
              <w:rPr>
                <w:rStyle w:val="1128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9"/>
        </w:trPr>
        <w:tc>
          <w:tcPr>
            <w:tcW w:w="1463" w:type="dxa"/>
            <w:vAlign w:val="center"/>
            <w:vMerge w:val="restart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Style w:val="1128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Организация кофебрейков: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69"/>
              </w:numPr>
              <w:rPr>
                <w:rStyle w:val="1128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Предоставление питания на 160 человек;</w:t>
            </w:r>
            <w:r>
              <w:rPr>
                <w:rStyle w:val="1128"/>
                <w:sz w:val="24"/>
                <w:szCs w:val="24"/>
                <w:highlight w:val="white"/>
              </w:rPr>
            </w:r>
            <w:r>
              <w:rPr>
                <w:rStyle w:val="1128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69"/>
              </w:numPr>
              <w:rPr>
                <w:rStyle w:val="1128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менее двух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кофебрейков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в день;</w:t>
            </w:r>
            <w:r>
              <w:rPr>
                <w:rStyle w:val="1128"/>
                <w:sz w:val="24"/>
                <w:szCs w:val="24"/>
                <w:highlight w:val="white"/>
              </w:rPr>
            </w:r>
            <w:r>
              <w:rPr>
                <w:rStyle w:val="1128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9"/>
        </w:trPr>
        <w:tc>
          <w:tcPr>
            <w:tcW w:w="1463" w:type="dxa"/>
            <w:vAlign w:val="center"/>
            <w:vMerge w:val="restart"/>
            <w:textDirection w:val="lrTb"/>
            <w:noWrap w:val="false"/>
          </w:tcPr>
          <w:p>
            <w:pPr>
              <w:pStyle w:val="1070"/>
              <w:numPr>
                <w:ilvl w:val="0"/>
                <w:numId w:val="39"/>
              </w:num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834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Организация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проведения торжественного ужина включающего: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– Аренду зала на 170 человек;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– Предоставления питания в формате полноценного ресторанного меню, включая напитки;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– Длительность торжественного ужина должна составлять 4-5 часов;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firstLine="0"/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Работу ведущего на </w:t>
            </w:r>
            <w:r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всё время проведения торжественного ужина, обеспечивающего сопровождение, конкурсы и интерактивные развлечения;</w:t>
            </w:r>
            <w:r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– </w:t>
            </w:r>
            <w:r>
              <w:rPr>
                <w:rStyle w:val="1131"/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концертная программа длительностью не менее 1,5 часа с участием профессиональных артистов — вокалисты, танцевальные коллективы, иллюзионисты и другие шоу-номера.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5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0" w:name="_Toc51339696"/>
      <w:r>
        <w:rPr>
          <w:sz w:val="24"/>
          <w:szCs w:val="24"/>
          <w:highlight w:val="white"/>
        </w:rPr>
      </w:r>
      <w:bookmarkStart w:id="11" w:name="_Toc54643706"/>
      <w:r>
        <w:rPr>
          <w:sz w:val="24"/>
          <w:szCs w:val="24"/>
          <w:highlight w:val="white"/>
        </w:rPr>
        <w:t xml:space="preserve">Требования </w:t>
      </w:r>
      <w:bookmarkEnd w:id="10"/>
      <w:r>
        <w:rPr>
          <w:sz w:val="24"/>
          <w:szCs w:val="24"/>
          <w:highlight w:val="white"/>
        </w:rPr>
        <w:t xml:space="preserve">к срокам оказания услуг</w:t>
      </w:r>
      <w:bookmarkEnd w:id="11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keepLines/>
        <w:keepNext/>
        <w:spacing w:before="240" w:after="60"/>
        <w:rPr>
          <w:rFonts w:eastAsia="Calibri"/>
          <w:b/>
          <w:sz w:val="24"/>
          <w:szCs w:val="24"/>
          <w:highlight w:val="white"/>
        </w:rPr>
        <w:outlineLvl w:val="0"/>
      </w:pPr>
      <w:r>
        <w:rPr>
          <w:rFonts w:eastAsia="Calibri"/>
          <w:b/>
          <w:sz w:val="24"/>
          <w:szCs w:val="24"/>
          <w:highlight w:val="white"/>
        </w:rPr>
        <w:t xml:space="preserve">Таблица 2. Требования к срокам оказания услуг</w:t>
      </w:r>
      <w:r>
        <w:rPr>
          <w:rFonts w:eastAsia="Calibri"/>
          <w:b/>
          <w:sz w:val="24"/>
          <w:szCs w:val="24"/>
          <w:highlight w:val="white"/>
        </w:rPr>
      </w:r>
      <w:r>
        <w:rPr>
          <w:rFonts w:eastAsia="Calibri"/>
          <w:b/>
          <w:sz w:val="24"/>
          <w:szCs w:val="24"/>
          <w:highlight w:val="white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118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№ п/п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Наименование услуг/ этапа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началу срока оказания услуг/ этапа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окончанию срока оказания услуг / этапа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0"/>
              </w:numPr>
              <w:contextualSpacing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pStyle w:val="856"/>
              <w:ind w:left="-108" w:right="-108" w:firstLine="0"/>
              <w:jc w:val="left"/>
              <w:spacing w:before="60" w:after="60" w:line="240" w:lineRule="auto"/>
              <w:widowControl w:val="off"/>
              <w:rPr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i/>
                <w:iCs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i/>
                <w:iCs/>
                <w:sz w:val="24"/>
                <w:szCs w:val="24"/>
                <w:highlight w:val="white"/>
              </w:rPr>
              <w:t xml:space="preserve">ОКПД2   94.99.16 Оказание услуг по проведению соревнований оперативного персонала ТЭС АО "ДГК", Хабаровский край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W w:w="2977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  <w:lang w:val="ru-RU"/>
              </w:rPr>
              <w:t xml:space="preserve">с даты заключения договора до 31.07.2026</w:t>
            </w:r>
            <w:r>
              <w:rPr>
                <w:bCs/>
                <w:sz w:val="24"/>
                <w:szCs w:val="24"/>
                <w:highlight w:val="white"/>
                <w:lang w:val="ru-RU"/>
              </w:rPr>
              <w:t xml:space="preserve">.</w:t>
            </w:r>
            <w:r>
              <w:rPr>
                <w:bCs/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iCs/>
                <w:sz w:val="24"/>
                <w:szCs w:val="24"/>
                <w:highlight w:val="white"/>
                <w:lang w:val="ru-RU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ind w:left="57" w:right="57"/>
              <w:jc w:val="center"/>
              <w:keepNext/>
              <w:spacing w:before="40" w:after="40"/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  <w:lang w:val="ru-RU"/>
              </w:rPr>
              <w:t xml:space="preserve">Срок проведения соревнований: с 05.07.2026 по 10.07.2026</w:t>
            </w:r>
            <w:r>
              <w:rPr>
                <w:bCs/>
                <w:sz w:val="24"/>
                <w:szCs w:val="24"/>
                <w:highlight w:val="white"/>
                <w:lang w:val="ru-RU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57" w:right="57"/>
              <w:jc w:val="center"/>
              <w:keepNext/>
              <w:spacing w:before="40" w:after="4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keepNext/>
              <w:spacing w:before="40" w:after="4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соответствии с Проектом договора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jc w:val="both"/>
        <w:rPr>
          <w:sz w:val="24"/>
          <w:szCs w:val="24"/>
          <w:highlight w:val="white"/>
        </w:rPr>
        <w:sectPr>
          <w:headerReference w:type="default" r:id="rId9"/>
          <w:headerReference w:type="even" r:id="rId10"/>
          <w:headerReference w:type="first" r:id="rId11"/>
          <w:footerReference w:type="default" r:id="rId12"/>
          <w:footnotePr/>
          <w:endnotePr/>
          <w:type w:val="nextPage"/>
          <w:pgSz w:w="11906" w:h="16838" w:orient="portrait"/>
          <w:pgMar w:top="567" w:right="851" w:bottom="992" w:left="851" w:header="680" w:footer="73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6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2" w:name="_Toc46743511"/>
      <w:r>
        <w:rPr>
          <w:sz w:val="24"/>
          <w:szCs w:val="24"/>
          <w:highlight w:val="white"/>
        </w:rPr>
      </w:r>
      <w:bookmarkStart w:id="13" w:name="_Toc54643708"/>
      <w:r>
        <w:rPr>
          <w:sz w:val="24"/>
          <w:szCs w:val="24"/>
          <w:highlight w:val="white"/>
        </w:rPr>
      </w:r>
      <w:bookmarkStart w:id="14" w:name="_Toc50125131"/>
      <w:r>
        <w:rPr>
          <w:sz w:val="24"/>
          <w:szCs w:val="24"/>
          <w:highlight w:val="white"/>
        </w:rPr>
      </w:r>
      <w:bookmarkStart w:id="15" w:name="_Toc51339698"/>
      <w:r>
        <w:rPr>
          <w:sz w:val="24"/>
          <w:szCs w:val="24"/>
          <w:highlight w:val="white"/>
        </w:rPr>
      </w:r>
      <w:bookmarkStart w:id="16" w:name="_Toc54643709"/>
      <w:r>
        <w:rPr>
          <w:sz w:val="24"/>
          <w:szCs w:val="24"/>
          <w:highlight w:val="white"/>
        </w:rPr>
        <w:t xml:space="preserve">Требования к </w:t>
      </w:r>
      <w:bookmarkEnd w:id="12"/>
      <w:r>
        <w:rPr>
          <w:sz w:val="24"/>
          <w:szCs w:val="24"/>
          <w:highlight w:val="white"/>
        </w:rPr>
        <w:t xml:space="preserve">качеству услуг</w:t>
      </w:r>
      <w:bookmarkEnd w:id="13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57"/>
        <w:numPr>
          <w:ilvl w:val="0"/>
          <w:numId w:val="0"/>
        </w:numPr>
        <w:keepLines/>
        <w:spacing w:before="24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Таблица 3. Требования к </w:t>
      </w:r>
      <w:bookmarkEnd w:id="14"/>
      <w:r>
        <w:rPr>
          <w:sz w:val="24"/>
          <w:szCs w:val="24"/>
          <w:highlight w:val="white"/>
        </w:rPr>
      </w:r>
      <w:bookmarkEnd w:id="15"/>
      <w:r>
        <w:rPr>
          <w:sz w:val="24"/>
          <w:szCs w:val="24"/>
          <w:highlight w:val="white"/>
        </w:rPr>
        <w:t xml:space="preserve">качеству услуг</w:t>
      </w:r>
      <w:bookmarkEnd w:id="16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b/>
          <w:bCs/>
          <w:iCs/>
          <w:sz w:val="24"/>
          <w:szCs w:val="24"/>
          <w:highlight w:val="white"/>
          <w:shd w:val="clear" w:color="auto" w:fill="ffff99"/>
        </w:rPr>
      </w:pPr>
      <w:r>
        <w:rPr>
          <w:b/>
          <w:bCs/>
          <w:sz w:val="24"/>
          <w:szCs w:val="24"/>
          <w:highlight w:val="white"/>
        </w:rPr>
        <w:t xml:space="preserve">Наименование услуг/этапа услуг (позиция № 1_Таблицы 2):</w:t>
      </w:r>
      <w:r>
        <w:rPr>
          <w:b/>
          <w:bCs/>
          <w:iCs/>
          <w:sz w:val="24"/>
          <w:szCs w:val="24"/>
          <w:highlight w:val="white"/>
          <w:shd w:val="clear" w:color="auto" w:fill="ffff99"/>
        </w:rPr>
      </w:r>
      <w:r>
        <w:rPr>
          <w:b/>
          <w:bCs/>
          <w:iCs/>
          <w:sz w:val="24"/>
          <w:szCs w:val="24"/>
          <w:highlight w:val="white"/>
          <w:shd w:val="clear" w:color="auto" w:fill="ffff99"/>
        </w:rPr>
      </w:r>
    </w:p>
    <w:p>
      <w:pPr>
        <w:ind w:left="-108" w:right="-108" w:firstLine="0"/>
        <w:jc w:val="left"/>
        <w:spacing w:before="60" w:after="60" w:line="240" w:lineRule="auto"/>
        <w:widowControl w:val="off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856"/>
        <w:ind w:left="-108" w:right="-108" w:firstLine="0"/>
        <w:jc w:val="left"/>
        <w:spacing w:before="60" w:after="60" w:line="240" w:lineRule="auto"/>
        <w:widowControl w:val="off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  ОКПД2   94.99.16 Оказание услуг по проведению соревнований оперативного персонала ТЭС АО "ДГК"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tbl>
      <w:tblPr>
        <w:tblStyle w:val="1027"/>
        <w:tblW w:w="128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6"/>
        <w:gridCol w:w="2009"/>
        <w:gridCol w:w="5001"/>
        <w:gridCol w:w="2302"/>
        <w:gridCol w:w="2829"/>
      </w:tblGrid>
      <w:tr>
        <w:tblPrEx/>
        <w:trPr/>
        <w:tc>
          <w:tcPr>
            <w:tcW w:w="7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№ п/п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513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00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00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bookmarkStart w:id="17" w:name="_Toc53499667"/>
            <w:r>
              <w:rPr>
                <w:b/>
                <w:bCs/>
                <w:sz w:val="24"/>
                <w:szCs w:val="24"/>
                <w:highlight w:val="white"/>
              </w:rPr>
              <w:t xml:space="preserve">1</w:t>
            </w:r>
            <w:bookmarkEnd w:id="17"/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4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5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0"/>
                <w:numId w:val="16"/>
              </w:numPr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оказанию услуг 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Общие требования к оказанию услуг 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0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Соответствие оказываемых услуг необходимым требованиям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001" w:type="dxa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Для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оказания услуги по проведению соревнований оперативного персонала ТЭС АО "ДГК"</w:t>
            </w:r>
            <w:r>
              <w:rPr>
                <w:rFonts w:eastAsia="Calibri"/>
                <w:sz w:val="24"/>
                <w:szCs w:val="24"/>
                <w:highlight w:val="white"/>
              </w:rPr>
              <w:t xml:space="preserve"> требуется обеспечить: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47"/>
              </w:numPr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Организация проживания в г</w:t>
            </w:r>
            <w:r>
              <w:rPr>
                <w:sz w:val="24"/>
                <w:szCs w:val="24"/>
                <w:highlight w:val="white"/>
              </w:rPr>
              <w:t xml:space="preserve">остиничных </w:t>
            </w:r>
            <w:r>
              <w:rPr>
                <w:sz w:val="24"/>
                <w:szCs w:val="24"/>
                <w:highlight w:val="white"/>
              </w:rPr>
              <w:t xml:space="preserve">2-х местных </w:t>
            </w:r>
            <w:r>
              <w:rPr>
                <w:sz w:val="24"/>
                <w:szCs w:val="24"/>
                <w:highlight w:val="white"/>
              </w:rPr>
              <w:t xml:space="preserve">номерах 124 человек, в одно местных номерах 23 человек, с предоставлением трёхразового питания;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47"/>
              </w:numPr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Дополнительные обеды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для 15 человек в месте проживания;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47"/>
              </w:numPr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Наличие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омещений (площадки) для проведения этапов соревнований: 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3.1 Церемония открытия/закрытия соревнований - площадка/помещение со сценой, свето-звуковым оборудованием для размещения 170 человек;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3.2 Помещение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 9 рабочих мест с ПК и интернетом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Помещение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 9 рабочих мест с ПК и интернетом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3.4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омещение на 3 рабочих места с ПК и интернетом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3.5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Помещение на 4 рабочих места с ПК и интернетом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 - 7 дней;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3.6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Помещение на 4 рабочих места с ПК и интернетом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3.7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омещение для размещения 10 человек размером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10х10 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3.8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олигон размером 10х60 м. с возможностью разведения огня и установкой пожарного автомобиля);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3.9 Зал для проведения торжественного ужина на 170 человек.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3.10 Помещение для проведение кофебрейков.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4. Организация кофебрейков (по два ежедневно) для 160 человек - 5 дней;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5. Организация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торжественного ужина на 170 человек.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Предоставление печатной и наградной продукции.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7. Предоставление свето-звуковой аппаратуры;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Организация фото – видео съёмки.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Обеспечение расходными материалами и инвентарём для проведения пожарного этапа конкурса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Оформление мероприятия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     11.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Наличие действующего соглашения о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намерениях организации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на предоставление помещений и площадок.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Style w:val="1127"/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    12. Наличие действующего соглашения о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Style w:val="1127"/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    намерениях организации трансфера    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Style w:val="1127"/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    участников соревнований: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50"/>
              </w:numPr>
              <w:jc w:val="left"/>
              <w:rPr>
                <w:rStyle w:val="1127"/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при заезде и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выезде от места размещения;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50"/>
              </w:numPr>
              <w:jc w:val="left"/>
              <w:rPr>
                <w:rStyle w:val="1127"/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между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этапами соревнований;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.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50"/>
              </w:numPr>
              <w:jc w:val="left"/>
              <w:rPr>
                <w:rStyle w:val="1127"/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к месту питания.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rPr>
                <w:rStyle w:val="1127"/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    12. С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оглашения предоставить до   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    заключения договора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.</w:t>
            </w:r>
            <w:bookmarkStart w:id="18" w:name="_GoBack"/>
            <w:r>
              <w:rPr>
                <w:sz w:val="24"/>
                <w:szCs w:val="24"/>
                <w:highlight w:val="white"/>
              </w:rPr>
            </w:r>
            <w:bookmarkEnd w:id="18"/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829" w:type="dxa"/>
            <w:textDirection w:val="lrTb"/>
            <w:noWrap w:val="false"/>
          </w:tcPr>
          <w:p>
            <w:pPr>
              <w:pStyle w:val="1095"/>
              <w:jc w:val="left"/>
              <w:keepNext w:val="0"/>
              <w:spacing w:before="0"/>
              <w:rPr>
                <w:rFonts w:eastAsia="Times New Roman"/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Times New Roman"/>
                <w:sz w:val="24"/>
                <w:szCs w:val="24"/>
                <w:highlight w:val="white"/>
              </w:rPr>
            </w:r>
            <w:r>
              <w:rPr>
                <w:rFonts w:eastAsia="Times New Roman"/>
                <w:sz w:val="24"/>
                <w:szCs w:val="24"/>
                <w:highlight w:val="white"/>
              </w:rPr>
            </w:r>
            <w:r>
              <w:rPr>
                <w:rFonts w:eastAsia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auto" w:fill="auto"/>
            <w:tcW w:w="7010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способам оказания услуг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82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0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оказания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5001" w:type="dxa"/>
            <w:textDirection w:val="lrTb"/>
            <w:noWrap w:val="false"/>
          </w:tcPr>
          <w:p>
            <w:pPr>
              <w:ind w:firstLine="580"/>
              <w:jc w:val="both"/>
              <w:tabs>
                <w:tab w:val="left" w:pos="2280" w:leader="none"/>
                <w:tab w:val="left" w:pos="4378" w:leader="none"/>
                <w:tab w:val="right" w:pos="6605" w:leader="none"/>
              </w:tabs>
              <w:rPr>
                <w:color w:val="00b050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color w:val="auto"/>
                <w:sz w:val="24"/>
                <w:szCs w:val="24"/>
                <w:highlight w:val="white"/>
              </w:rPr>
              <w:t xml:space="preserve">Место оказания услуг –  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г. Хабаровск.</w:t>
            </w:r>
            <w:r>
              <w:rPr>
                <w:color w:val="00b050"/>
                <w:sz w:val="24"/>
                <w:szCs w:val="24"/>
                <w:highlight w:val="white"/>
              </w:rPr>
            </w:r>
            <w:r>
              <w:rPr>
                <w:color w:val="00b050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3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282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процедурам оказания услуг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Привлечение Соисполнителей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textDirection w:val="lrTb"/>
            <w:noWrap w:val="false"/>
          </w:tcPr>
          <w:p>
            <w:pPr>
              <w:ind w:firstLine="58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 оказании услуг допускается привлечение Соисполнителей с согласия Заказчика до момента заключения договора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Требование к информационной безопасности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textDirection w:val="lrTb"/>
            <w:noWrap w:val="false"/>
          </w:tcPr>
          <w:p>
            <w:pPr>
              <w:ind w:firstLine="58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 пересылке файлов не допускается использование открытых файлообменных сервисов.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1.4.</w:t>
            </w:r>
            <w:r>
              <w:rPr>
                <w:rFonts w:eastAsia="Calibri"/>
                <w:sz w:val="24"/>
                <w:szCs w:val="24"/>
                <w:highlight w:val="white"/>
              </w:rPr>
            </w: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textDirection w:val="lrTb"/>
            <w:noWrap w:val="false"/>
          </w:tcPr>
          <w:p>
            <w:pPr>
              <w:ind w:firstLine="58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1.4.1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Наличие необходимого оборудования для проведения Соревнований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Обеспечение видеофиксирующим и хронометражным оборудованием при выполнении этапов соревнований.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Обеспечение присутствия пожарного автомобиля и боевого </w:t>
            </w:r>
            <w:r>
              <w:rPr>
                <w:sz w:val="24"/>
                <w:szCs w:val="24"/>
                <w:highlight w:val="white"/>
              </w:rPr>
              <w:t xml:space="preserve">расчёта для</w:t>
            </w:r>
            <w:r>
              <w:rPr>
                <w:sz w:val="24"/>
                <w:szCs w:val="24"/>
                <w:highlight w:val="white"/>
              </w:rPr>
              <w:t xml:space="preserve"> проведения пожарного этапа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Дежурство скорой медицинской помощи </w:t>
            </w:r>
            <w:r>
              <w:rPr>
                <w:sz w:val="24"/>
                <w:szCs w:val="24"/>
                <w:highlight w:val="white"/>
              </w:rPr>
              <w:t xml:space="preserve">и пожарного автомобиля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Звуко-техническая аппаратура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- </w:t>
            </w:r>
            <w:r>
              <w:rPr>
                <w:sz w:val="24"/>
                <w:szCs w:val="24"/>
                <w:highlight w:val="white"/>
              </w:rPr>
              <w:t xml:space="preserve"> Оборудование для фото- видеосъёмки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1.5.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textDirection w:val="lrTb"/>
            <w:noWrap w:val="false"/>
          </w:tcPr>
          <w:p>
            <w:pPr>
              <w:ind w:firstLine="58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персоналу исполнителя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1.5.1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Наличия у исполнителя в штате специалистов в необходимом количестве для оказания заявленных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textDirection w:val="lrTb"/>
            <w:noWrap w:val="false"/>
          </w:tcPr>
          <w:p>
            <w:pPr>
              <w:ind w:firstLine="58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Обеспечить соответствие профессионального уровня представителей Исполнителя требованиям, необходимым для оказания Услуг надлежащего качества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0"/>
                <w:numId w:val="16"/>
              </w:numPr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Требования к результатам у</w:t>
            </w:r>
            <w:r>
              <w:rPr>
                <w:b/>
                <w:sz w:val="24"/>
                <w:szCs w:val="24"/>
                <w:highlight w:val="white"/>
              </w:rPr>
              <w:t xml:space="preserve">слуг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Общие требования к результатам услуг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Результат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Результатом оказания услуги является Организация и проведение соревновании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 оперативного персонала ТЭС АО "ДГК"</w:t>
            </w:r>
            <w:r>
              <w:rPr>
                <w:sz w:val="24"/>
                <w:szCs w:val="24"/>
                <w:highlight w:val="white"/>
              </w:rPr>
              <w:t xml:space="preserve">в соответствии с перечнем и объёмом оказываемых услуг указанных в данном техническом требовании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pStyle w:val="1095"/>
              <w:jc w:val="left"/>
              <w:keepNext w:val="0"/>
              <w:rPr>
                <w:rFonts w:eastAsia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eastAsia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eastAsia="Times New Roman"/>
                <w:b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vAlign w:val="center"/>
            <w:textDirection w:val="lrTb"/>
            <w:noWrap w:val="false"/>
          </w:tcPr>
          <w:p>
            <w:pPr>
              <w:spacing w:before="6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безопасности использования результата оказания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Не требуется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textDirection w:val="lrTb"/>
            <w:noWrap w:val="false"/>
          </w:tcPr>
          <w:p>
            <w:pPr>
              <w:pStyle w:val="1088"/>
              <w:ind w:firstLine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Требования к приемке результата оказания у</w:t>
            </w:r>
            <w:r>
              <w:rPr>
                <w:b/>
                <w:sz w:val="24"/>
                <w:szCs w:val="24"/>
                <w:highlight w:val="white"/>
              </w:rPr>
              <w:t xml:space="preserve">слуг</w:t>
            </w:r>
            <w:r>
              <w:rPr>
                <w:rStyle w:val="1101"/>
                <w:b w:val="0"/>
                <w:bCs/>
                <w:i w:val="0"/>
                <w:sz w:val="24"/>
                <w:szCs w:val="24"/>
                <w:highlight w:val="white"/>
                <w:shd w:val="clear" w:color="auto" w:fill="auto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Результат оказания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textDirection w:val="lrTb"/>
            <w:noWrap w:val="false"/>
          </w:tcPr>
          <w:p>
            <w:pPr>
              <w:ind w:firstLine="580"/>
              <w:jc w:val="both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Сдача работ оформляется Актом оказанных услуг установленной формы после передачи отчетных документов Заказчику. 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2.4.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textDirection w:val="lrTb"/>
            <w:noWrap w:val="false"/>
          </w:tcPr>
          <w:p>
            <w:pPr>
              <w:ind w:firstLine="58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документации, описывающей результат оказания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2.4.1.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Документы, передаваемые заказчику по результатам оказанных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</w:t>
            </w:r>
            <w:r>
              <w:rPr>
                <w:sz w:val="24"/>
                <w:szCs w:val="24"/>
                <w:highlight w:val="white"/>
              </w:rPr>
              <w:t xml:space="preserve">сполнитель обязан предоставить Акт об оказании услуг в течение трёх календарных дней после оказания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  <w:tab w:val="left" w:pos="613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Форма акта является Приложением к Договору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0"/>
                <w:numId w:val="16"/>
              </w:numPr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vAlign w:val="center"/>
            <w:textDirection w:val="lrTb"/>
            <w:noWrap w:val="false"/>
          </w:tcPr>
          <w:p>
            <w:pPr>
              <w:spacing w:before="4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37"/>
        </w:trPr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textDirection w:val="lrTb"/>
            <w:noWrap w:val="false"/>
          </w:tcPr>
          <w:p>
            <w:pPr>
              <w:pStyle w:val="1095"/>
              <w:jc w:val="left"/>
              <w:keepNext w:val="0"/>
              <w:rPr>
                <w:rFonts w:eastAsia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  <w:highlight w:val="white"/>
              </w:rPr>
              <w:t xml:space="preserve">Ответственность сторон</w:t>
            </w:r>
            <w:r>
              <w:rPr>
                <w:rFonts w:eastAsia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eastAsia="Times New Roman"/>
                <w:b w:val="0"/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textDirection w:val="lrTb"/>
            <w:noWrap w:val="false"/>
          </w:tcPr>
          <w:p>
            <w:pPr>
              <w:pStyle w:val="1088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случае нарушения Исполнителем обязател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ьств по оказанию услуг, а также в случае несвоевременного устранения выявленных недостатков результатов услуг, Заказчик вправе потребовать уплаты Исполнителем штрафной неустойки в размере 0,1 (ноль целых и одна десятая) процента от цены договора за каждый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день просрочки.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pStyle w:val="1095"/>
              <w:jc w:val="left"/>
              <w:keepNext w:val="0"/>
              <w:rPr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0"/>
                <w:numId w:val="16"/>
              </w:numPr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ответственности и гарантиям исполнителя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Надлежащее качество оказания услуг в полном объеме в соответствии с данным Техническим заданием и действующим  законодательством;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spacing w:before="4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textDirection w:val="lrTb"/>
            <w:noWrap w:val="false"/>
          </w:tcPr>
          <w:p>
            <w:pPr>
              <w:spacing w:before="40"/>
              <w:rPr>
                <w:b/>
                <w:bCs/>
                <w:i/>
                <w:sz w:val="24"/>
                <w:szCs w:val="24"/>
                <w:highlight w:val="white"/>
              </w:rPr>
            </w:pPr>
            <w:r>
              <w:rPr>
                <w:b/>
                <w:bCs/>
                <w:i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</w:rPr>
            </w:r>
            <w:r>
              <w:rPr>
                <w:b/>
                <w:bCs/>
                <w:i/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Выполнение всех услуг в установленные сроки.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pStyle w:val="1095"/>
              <w:jc w:val="left"/>
              <w:keepNext w:val="0"/>
              <w:rPr>
                <w:rFonts w:eastAsia="Times New Roman"/>
                <w:b w:val="0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rFonts w:eastAsia="Times New Roman"/>
                <w:b w:val="0"/>
                <w:sz w:val="24"/>
                <w:szCs w:val="24"/>
                <w:highlight w:val="white"/>
              </w:rPr>
            </w:r>
            <w:r>
              <w:rPr>
                <w:rFonts w:eastAsia="Times New Roman"/>
                <w:b w:val="0"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0"/>
                <w:numId w:val="16"/>
              </w:numPr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7010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Требования к исполнителю (и соисполнителям) и его обязательствам, влияющим на исполнение договора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textDirection w:val="lrTb"/>
            <w:noWrap w:val="false"/>
          </w:tcPr>
          <w:p>
            <w:pPr>
              <w:pStyle w:val="1070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00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соисполнителям, привлекаемым к оказанию услуг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001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случае привлечения к оказанию услуг соисполнителей исполнитель обязан обеспечить соответствие профессионального уровня соисполнителей требованиям, необходимым для оказания Услуг надлежащего качества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02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Согласие с требованиями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textDirection w:val="lrTb"/>
            <w:noWrap w:val="false"/>
          </w:tcPr>
          <w:p>
            <w:pPr>
              <w:pStyle w:val="1095"/>
              <w:jc w:val="left"/>
              <w:keepNext w:val="0"/>
              <w:rPr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6.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12141" w:type="dxa"/>
            <w:vMerge w:val="restart"/>
            <w:textDirection w:val="lrTb"/>
            <w:noWrap w:val="false"/>
          </w:tcPr>
          <w:p>
            <w:pPr>
              <w:pStyle w:val="1095"/>
              <w:jc w:val="left"/>
              <w:keepNext w:val="0"/>
              <w:rPr>
                <w:sz w:val="24"/>
                <w:szCs w:val="24"/>
                <w:highlight w:val="white"/>
              </w:rPr>
              <w:outlineLvl w:val="2"/>
            </w:pPr>
            <w:r>
              <w:rPr>
                <w:sz w:val="24"/>
                <w:szCs w:val="24"/>
                <w:highlight w:val="white"/>
              </w:rPr>
              <w:t xml:space="preserve">Требования к победителю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6.1.1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4"/>
            <w:tcW w:w="12141" w:type="dxa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победителем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закупочной процедуры, в течение 5 (пяти) рабочих дней после размещения протокола подведения итогов закупки на сайте </w:t>
            </w:r>
            <w:hyperlink r:id="rId13" w:tooltip="http://www.zakupki.gov.ru" w:history="1">
              <w:r>
                <w:rPr>
                  <w:rStyle w:val="1040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(до заключения договора), должен предоставить в адрес Заказчика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 электронный адрес </w:t>
            </w:r>
            <w:hyperlink r:id="rId14" w:tooltip="mailto:Kulik-ANV@dgk.ru" w:history="1">
              <w:r>
                <w:rPr>
                  <w:rStyle w:val="1040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(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baulin-vm@dgk.ru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highlight w:val="white"/>
                </w:rPr>
                <w:t xml:space="preserve">)</w:t>
              </w:r>
              <w:r>
                <w:rPr>
                  <w:rStyle w:val="1040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дополнительные документы.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1070"/>
              <w:ind w:left="0"/>
              <w:jc w:val="left"/>
              <w:shd w:val="clear" w:color="auto" w:fill="ffffff"/>
              <w:tabs>
                <w:tab w:val="left" w:pos="284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6.1.2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9312" w:type="dxa"/>
            <w:vMerge w:val="restart"/>
            <w:textDirection w:val="lrTb"/>
            <w:noWrap w:val="false"/>
          </w:tcPr>
          <w:p>
            <w:pPr>
              <w:ind w:left="0" w:firstLine="0"/>
              <w:rPr>
                <w:rFonts w:eastAsiaTheme="minorHAnsi"/>
                <w:b/>
                <w:bCs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b/>
                <w:bCs/>
                <w:sz w:val="24"/>
                <w:szCs w:val="24"/>
                <w:highlight w:val="white"/>
              </w:rPr>
              <w:t xml:space="preserve">Победитель должен заключить соглашения о намерениях аренды помещений и трансфера участников для обеспечения и проведения:</w:t>
            </w:r>
            <w:r>
              <w:rPr>
                <w:rFonts w:eastAsiaTheme="minorHAnsi"/>
                <w:b/>
                <w:bCs/>
                <w:sz w:val="24"/>
                <w:szCs w:val="24"/>
                <w:highlight w:val="white"/>
              </w:rPr>
            </w:r>
            <w:r>
              <w:rPr>
                <w:rFonts w:eastAsiaTheme="minorHAnsi"/>
                <w:b/>
                <w:bCs/>
                <w:sz w:val="24"/>
                <w:szCs w:val="24"/>
                <w:highlight w:val="white"/>
              </w:rPr>
            </w:r>
          </w:p>
          <w:p>
            <w:pPr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55"/>
              </w:numPr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Проживания в г</w:t>
            </w:r>
            <w:r>
              <w:rPr>
                <w:sz w:val="24"/>
                <w:szCs w:val="24"/>
                <w:highlight w:val="white"/>
              </w:rPr>
              <w:t xml:space="preserve">остиничных </w:t>
            </w:r>
            <w:r>
              <w:rPr>
                <w:sz w:val="24"/>
                <w:szCs w:val="24"/>
                <w:highlight w:val="white"/>
              </w:rPr>
              <w:t xml:space="preserve">2-х местных </w:t>
            </w:r>
            <w:r>
              <w:rPr>
                <w:sz w:val="24"/>
                <w:szCs w:val="24"/>
                <w:highlight w:val="white"/>
              </w:rPr>
              <w:t xml:space="preserve">номерах 124 человек, </w:t>
            </w:r>
            <w:r>
              <w:rPr>
                <w:sz w:val="24"/>
                <w:szCs w:val="24"/>
                <w:highlight w:val="white"/>
              </w:rPr>
              <w:t xml:space="preserve">в одно местных номерах 23 человек</w:t>
            </w:r>
            <w:r>
              <w:rPr>
                <w:sz w:val="24"/>
                <w:szCs w:val="24"/>
                <w:highlight w:val="white"/>
              </w:rPr>
              <w:t xml:space="preserve">,</w:t>
            </w:r>
            <w:r>
              <w:rPr>
                <w:sz w:val="24"/>
                <w:szCs w:val="24"/>
                <w:highlight w:val="white"/>
              </w:rPr>
              <w:t xml:space="preserve"> с предоставлением трёхразового питания;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55"/>
              </w:numPr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Дополнительных обедов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для 15 человек в месте проживания;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55"/>
              </w:numPr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Наличие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омещений (площадки) для проведения этапов соревнований: 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3.1 Церемония открытия/закрытия соревнований - площадка/помещение со сценой для размещения 170 человек;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3.2 Первый этап - прове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рка знаний нормативно-технических документов 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роверка умения выявлять отступления от требований НТД.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помещение на 9 рабочих мест с ПК и интернетом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3.4 Второй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этап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– Действие персонала при пожаре (полигон размером 10х60 м. с возможностью разведения огня и установкой пожарного автомобиля);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3.5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Третий этап – Производство оперативных переключений при нормальном и аварийном режимах работы оборудования теплосети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помещение на 9 рабочих места с ПК и интернетом);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3.5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Четвёртый этап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–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Выполнение переключений в электрических схемах ТЭС,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помещение на 3 рабочих места с ПК и интернетом);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3.6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П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я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т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ы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й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э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т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ап -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Ведение водно-химического режима ТЭС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помещение на 9 рабочих мест с ПК и интернетом);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3.7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Шестой этап  -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Выполнение технологических операц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ий по эксплуатации систем автоматического управления и контроля ТЭС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 помещение на 9 рабочих мест с ПК и интернетом);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3.8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Седьмой этап –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Style w:val="1132"/>
                <w:color w:val="000000" w:themeColor="text1"/>
                <w:sz w:val="24"/>
                <w:szCs w:val="24"/>
              </w:rPr>
              <w:t xml:space="preserve">теоретических знаний и практических навыков по оказанию доврачебной помощи пострадавшим при несчастном случае на производстве (п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омещение для размещения 10 человек размером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10х10 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3.9 Восьмой этап  -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Выполнение технологических операц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ий по эксплуатации систем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 релейной защиты и автоматики ТЭС,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помещение на 2 рабочих места с ПК и интернетом);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ind w:left="349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3.10 Зал для проведения торжественного ужина на 170 человек.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     4.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Наличие действующего соглашения о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намерениях организации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на предоставление помещений и площадок.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     5. Наличие действующего соглашения о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намерениях организации трансфера     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     участников соревнований: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56"/>
              </w:numPr>
              <w:jc w:val="left"/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при заезде и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выезде от места размещения;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56"/>
              </w:numPr>
              <w:jc w:val="left"/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между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этапами соревнований;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. 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pStyle w:val="1070"/>
              <w:numPr>
                <w:ilvl w:val="0"/>
                <w:numId w:val="57"/>
              </w:numPr>
              <w:jc w:val="left"/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к месту питания.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  <w:p>
            <w:pPr>
              <w:rPr>
                <w:rFonts w:eastAsiaTheme="minorHAnsi"/>
                <w:sz w:val="24"/>
                <w:szCs w:val="24"/>
                <w:highlight w:val="white"/>
              </w:rPr>
            </w:pP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Данные соглашения предоставить до 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заключения договора</w:t>
            </w:r>
            <w:r>
              <w:rPr>
                <w:rStyle w:val="1127"/>
                <w:rFonts w:eastAsiaTheme="minorHAnsi"/>
                <w:sz w:val="24"/>
                <w:szCs w:val="24"/>
                <w:highlight w:val="white"/>
              </w:rPr>
              <w:t xml:space="preserve">.</w:t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  <w:r>
              <w:rPr>
                <w:rFonts w:eastAsiaTheme="minorHAnsi"/>
                <w:sz w:val="24"/>
                <w:szCs w:val="24"/>
                <w:highlight w:val="white"/>
              </w:rPr>
            </w:r>
          </w:p>
        </w:tc>
        <w:tc>
          <w:tcPr>
            <w:tcW w:w="2829" w:type="dxa"/>
            <w:vMerge w:val="restart"/>
            <w:textDirection w:val="lrTb"/>
            <w:noWrap w:val="false"/>
          </w:tcPr>
          <w:p>
            <w:pPr>
              <w:pStyle w:val="1095"/>
              <w:ind w:left="709" w:firstLine="0"/>
              <w:jc w:val="left"/>
              <w:keepNext w:val="0"/>
              <w:rPr>
                <w:b/>
                <w:bCs/>
                <w:sz w:val="24"/>
                <w:szCs w:val="24"/>
                <w:highlight w:val="white"/>
              </w:rPr>
              <w:outlineLvl w:val="2"/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Подтверждается: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pStyle w:val="1095"/>
              <w:ind w:left="709" w:firstLine="0"/>
              <w:jc w:val="left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095"/>
              <w:numPr>
                <w:ilvl w:val="0"/>
                <w:numId w:val="61"/>
              </w:numPr>
              <w:ind w:left="425" w:right="0" w:hanging="360"/>
              <w:jc w:val="left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Предоставить подтверждающий документ;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095"/>
              <w:numPr>
                <w:ilvl w:val="0"/>
                <w:numId w:val="61"/>
              </w:numPr>
              <w:ind w:left="425" w:right="0" w:hanging="360"/>
              <w:jc w:val="left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Предоставить подтверждающий документ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095"/>
              <w:numPr>
                <w:ilvl w:val="0"/>
                <w:numId w:val="61"/>
              </w:numPr>
              <w:ind w:left="425" w:right="0" w:hanging="360"/>
              <w:jc w:val="left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Предоставить подтверждающий документ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095"/>
              <w:numPr>
                <w:ilvl w:val="0"/>
                <w:numId w:val="61"/>
              </w:numPr>
              <w:ind w:left="425" w:right="0" w:hanging="360"/>
              <w:jc w:val="left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Предоставить подтверждающий документ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095"/>
              <w:numPr>
                <w:ilvl w:val="0"/>
                <w:numId w:val="61"/>
              </w:numPr>
              <w:ind w:left="425" w:right="0" w:hanging="360"/>
              <w:jc w:val="left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Предоставить подтверждающий документ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095"/>
              <w:ind w:left="425" w:right="0" w:firstLine="0"/>
              <w:jc w:val="left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095"/>
              <w:ind w:left="425" w:right="0" w:firstLine="0"/>
              <w:jc w:val="left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095"/>
              <w:ind w:left="425" w:right="0" w:firstLine="0"/>
              <w:jc w:val="left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1095"/>
              <w:ind w:left="709" w:right="0" w:hanging="425"/>
              <w:jc w:val="left"/>
              <w:keepNext w:val="0"/>
              <w:rPr>
                <w:b w:val="0"/>
                <w:bCs w:val="0"/>
                <w:sz w:val="24"/>
                <w:szCs w:val="24"/>
                <w:highlight w:val="white"/>
              </w:rPr>
              <w:outlineLvl w:val="2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i/>
          <w:sz w:val="24"/>
          <w:szCs w:val="24"/>
          <w:highlight w:val="white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i/>
          <w:sz w:val="24"/>
          <w:szCs w:val="24"/>
          <w:highlight w:val="white"/>
        </w:rPr>
      </w:r>
      <w:r>
        <w:rPr>
          <w:b/>
          <w:i/>
          <w:sz w:val="24"/>
          <w:szCs w:val="24"/>
          <w:highlight w:val="white"/>
        </w:rPr>
      </w:r>
      <w:r>
        <w:rPr>
          <w:b/>
          <w:i/>
          <w:sz w:val="24"/>
          <w:szCs w:val="24"/>
          <w:highlight w:val="white"/>
        </w:rPr>
      </w:r>
    </w:p>
    <w:p>
      <w:pPr>
        <w:pStyle w:val="857"/>
        <w:ind w:left="357" w:hanging="357"/>
        <w:jc w:val="center"/>
        <w:keepLines/>
        <w:rPr>
          <w:caps/>
          <w:sz w:val="24"/>
          <w:szCs w:val="24"/>
          <w:highlight w:val="white"/>
        </w:rPr>
      </w:pPr>
      <w:r>
        <w:rPr>
          <w:rFonts w:eastAsiaTheme="minorEastAsia"/>
          <w:sz w:val="24"/>
          <w:szCs w:val="24"/>
          <w:highlight w:val="white"/>
        </w:rPr>
        <w:t xml:space="preserve">Требования к документации по ценообразованию на этапе закупки</w:t>
      </w:r>
      <w:r>
        <w:rPr>
          <w:caps/>
          <w:sz w:val="24"/>
          <w:szCs w:val="24"/>
          <w:highlight w:val="white"/>
        </w:rPr>
      </w:r>
      <w:r>
        <w:rPr>
          <w:caps/>
          <w:sz w:val="24"/>
          <w:szCs w:val="24"/>
          <w:highlight w:val="white"/>
        </w:rPr>
      </w:r>
    </w:p>
    <w:p>
      <w:pPr>
        <w:jc w:val="both"/>
        <w:spacing w:line="276" w:lineRule="auto"/>
        <w:rPr>
          <w:sz w:val="24"/>
          <w:szCs w:val="24"/>
          <w:highlight w:val="white"/>
        </w:rPr>
      </w:pPr>
      <w:r>
        <w:rPr>
          <w:rFonts w:eastAsiaTheme="minorEastAsia"/>
          <w:sz w:val="24"/>
          <w:szCs w:val="24"/>
          <w:highlight w:val="white"/>
        </w:rPr>
        <w:t xml:space="preserve"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приведённой в Документации о закупке.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rFonts w:eastAsiaTheme="minorEastAsia"/>
          <w:sz w:val="24"/>
          <w:szCs w:val="24"/>
          <w:highlight w:val="white"/>
        </w:rPr>
        <w:t xml:space="preserve">3.2. Дополнительные документы по ценообразованию (сметная документация) в состав заявки Участника не включается.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57"/>
        <w:numPr>
          <w:ilvl w:val="0"/>
          <w:numId w:val="0"/>
        </w:numPr>
        <w:jc w:val="center"/>
        <w:keepLines/>
        <w:rPr>
          <w:caps/>
          <w:sz w:val="24"/>
          <w:szCs w:val="24"/>
          <w:highlight w:val="white"/>
        </w:rPr>
      </w:pPr>
      <w:r>
        <w:rPr>
          <w:caps/>
          <w:sz w:val="24"/>
          <w:szCs w:val="24"/>
          <w:highlight w:val="white"/>
        </w:rPr>
      </w:r>
      <w:r>
        <w:rPr>
          <w:caps/>
          <w:sz w:val="24"/>
          <w:szCs w:val="24"/>
          <w:highlight w:val="white"/>
        </w:rPr>
      </w:r>
      <w:r>
        <w:rPr>
          <w:caps/>
          <w:sz w:val="24"/>
          <w:szCs w:val="24"/>
          <w:highlight w:val="white"/>
        </w:rPr>
      </w:r>
    </w:p>
    <w:p>
      <w:pPr>
        <w:pStyle w:val="857"/>
        <w:ind w:left="357" w:hanging="357"/>
        <w:keepLines/>
        <w:tabs>
          <w:tab w:val="left" w:pos="5948" w:leader="none"/>
        </w:tabs>
        <w:rPr>
          <w:rFonts w:eastAsiaTheme="minorEastAsia"/>
          <w:sz w:val="24"/>
          <w:szCs w:val="24"/>
          <w:highlight w:val="white"/>
        </w:rPr>
      </w:pPr>
      <w:r>
        <w:rPr>
          <w:rFonts w:eastAsiaTheme="minorEastAsia"/>
          <w:sz w:val="24"/>
          <w:szCs w:val="24"/>
          <w:highlight w:val="white"/>
        </w:rPr>
        <w:t xml:space="preserve">Требования к документации по ценообразованию на этапе заключения (исполнения) договора</w:t>
      </w:r>
      <w:r>
        <w:rPr>
          <w:rFonts w:eastAsiaTheme="minorEastAsia"/>
          <w:sz w:val="24"/>
          <w:szCs w:val="24"/>
          <w:highlight w:val="white"/>
        </w:rPr>
      </w:r>
      <w:r>
        <w:rPr>
          <w:rFonts w:eastAsiaTheme="minorEastAsia"/>
          <w:sz w:val="24"/>
          <w:szCs w:val="24"/>
          <w:highlight w:val="white"/>
        </w:rPr>
      </w:r>
    </w:p>
    <w:p>
      <w:pPr>
        <w:ind w:firstLine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4.1. </w:t>
      </w:r>
      <w:r>
        <w:rPr>
          <w:sz w:val="24"/>
          <w:szCs w:val="24"/>
          <w:highlight w:val="white"/>
        </w:rPr>
        <w:t xml:space="preserve">Порядок формирования на этапе </w:t>
      </w:r>
      <w:r>
        <w:rPr>
          <w:sz w:val="24"/>
          <w:szCs w:val="24"/>
          <w:highlight w:val="white"/>
        </w:rPr>
        <w:t xml:space="preserve">заключения</w:t>
      </w:r>
      <w:r>
        <w:rPr>
          <w:sz w:val="24"/>
          <w:szCs w:val="24"/>
          <w:highlight w:val="white"/>
        </w:rPr>
        <w:t xml:space="preserve"> договора стоимости выполняемых работ по заданию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аказчика </w:t>
      </w:r>
      <w:r>
        <w:rPr>
          <w:sz w:val="24"/>
          <w:szCs w:val="24"/>
          <w:highlight w:val="white"/>
        </w:rPr>
        <w:t xml:space="preserve">– </w:t>
      </w:r>
      <w:r>
        <w:rPr>
          <w:sz w:val="24"/>
          <w:szCs w:val="24"/>
          <w:highlight w:val="white"/>
        </w:rPr>
        <w:t xml:space="preserve">Расчет выполнить по форме, приведенной в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риложени</w:t>
      </w:r>
      <w:r>
        <w:rPr>
          <w:sz w:val="24"/>
          <w:szCs w:val="24"/>
          <w:highlight w:val="white"/>
        </w:rPr>
        <w:t xml:space="preserve">е № 1</w:t>
      </w:r>
      <w:r>
        <w:rPr>
          <w:sz w:val="24"/>
          <w:szCs w:val="24"/>
          <w:highlight w:val="white"/>
        </w:rPr>
        <w:t xml:space="preserve"> к </w:t>
      </w:r>
      <w:r>
        <w:rPr>
          <w:sz w:val="24"/>
          <w:szCs w:val="24"/>
          <w:highlight w:val="white"/>
        </w:rPr>
        <w:t xml:space="preserve">Проект</w:t>
      </w:r>
      <w:r>
        <w:rPr>
          <w:sz w:val="24"/>
          <w:szCs w:val="24"/>
          <w:highlight w:val="white"/>
        </w:rPr>
        <w:t xml:space="preserve">у </w:t>
      </w:r>
      <w:r>
        <w:rPr>
          <w:sz w:val="24"/>
          <w:szCs w:val="24"/>
          <w:highlight w:val="white"/>
        </w:rPr>
        <w:t xml:space="preserve">договор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lang w:val="ru-RU"/>
        </w:rPr>
        <w:t xml:space="preserve">Перечень и стоимость услуг</w:t>
      </w:r>
      <w:r>
        <w:rPr>
          <w:sz w:val="24"/>
          <w:szCs w:val="24"/>
          <w:highlight w:val="white"/>
        </w:rPr>
        <w:t xml:space="preserve">»</w:t>
      </w:r>
      <w:r>
        <w:rPr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101"/>
          <w:b w:val="0"/>
          <w:i w:val="0"/>
          <w:sz w:val="24"/>
          <w:szCs w:val="24"/>
          <w:highlight w:val="white"/>
        </w:rPr>
      </w:pPr>
      <w:r>
        <w:rPr>
          <w:b w:val="0"/>
          <w:i w:val="0"/>
          <w:sz w:val="24"/>
          <w:szCs w:val="24"/>
          <w:highlight w:val="white"/>
        </w:rPr>
      </w:r>
      <w:r>
        <w:rPr>
          <w:rStyle w:val="1101"/>
          <w:b w:val="0"/>
          <w:i w:val="0"/>
          <w:sz w:val="24"/>
          <w:szCs w:val="24"/>
          <w:highlight w:val="white"/>
        </w:rPr>
      </w:r>
      <w:r>
        <w:rPr>
          <w:rStyle w:val="1101"/>
          <w:b w:val="0"/>
          <w:i w:val="0"/>
          <w:sz w:val="24"/>
          <w:szCs w:val="24"/>
          <w:highlight w:val="whit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1101"/>
          <w:b w:val="0"/>
          <w:i w:val="0"/>
          <w:sz w:val="24"/>
          <w:szCs w:val="24"/>
          <w:highlight w:val="white"/>
        </w:rPr>
      </w:pPr>
      <w:r>
        <w:rPr>
          <w:b w:val="0"/>
          <w:i w:val="0"/>
          <w:sz w:val="24"/>
          <w:szCs w:val="24"/>
          <w:highlight w:val="white"/>
        </w:rPr>
      </w:r>
      <w:r>
        <w:rPr>
          <w:rStyle w:val="1101"/>
          <w:b w:val="0"/>
          <w:i w:val="0"/>
          <w:sz w:val="24"/>
          <w:szCs w:val="24"/>
          <w:highlight w:val="white"/>
        </w:rPr>
      </w:r>
      <w:r>
        <w:rPr>
          <w:rStyle w:val="1101"/>
          <w:b w:val="0"/>
          <w:i w:val="0"/>
          <w:sz w:val="24"/>
          <w:szCs w:val="24"/>
          <w:highlight w:val="white"/>
        </w:rPr>
      </w:r>
    </w:p>
    <w:p>
      <w:pPr>
        <w:jc w:val="both"/>
        <w:spacing w:line="276" w:lineRule="auto"/>
        <w:rPr>
          <w:rFonts w:eastAsiaTheme="minorEastAsia"/>
          <w:sz w:val="24"/>
          <w:szCs w:val="24"/>
          <w:highlight w:val="white"/>
        </w:rPr>
      </w:pPr>
      <w:r>
        <w:rPr>
          <w:rFonts w:eastAsiaTheme="minorEastAsia"/>
          <w:sz w:val="24"/>
          <w:szCs w:val="24"/>
          <w:highlight w:val="white"/>
        </w:rPr>
      </w:r>
      <w:r>
        <w:rPr>
          <w:rFonts w:eastAsiaTheme="minorEastAsia"/>
          <w:sz w:val="24"/>
          <w:szCs w:val="24"/>
          <w:highlight w:val="white"/>
        </w:rPr>
      </w:r>
      <w:r>
        <w:rPr>
          <w:rFonts w:eastAsiaTheme="minorEastAsia"/>
          <w:sz w:val="24"/>
          <w:szCs w:val="24"/>
          <w:highlight w:val="whit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Franklin Gothic Medium Cond">
    <w:panose1 w:val="020B05060202030202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8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6</w:t>
    </w:r>
    <w:r>
      <w:fldChar w:fldCharType="end"/>
    </w:r>
    <w:r/>
  </w:p>
  <w:p>
    <w:pPr>
      <w:pStyle w:val="10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jc w:val="center"/>
    </w:pPr>
    <w:r>
      <w:t xml:space="preserve">PAGE   \* MERGEFORMAT</w: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rPr>
        <w:rStyle w:val="1037"/>
      </w:rPr>
      <w:framePr w:wrap="around" w:vAnchor="text" w:hAnchor="margin" w:xAlign="center" w:y="1"/>
    </w:pPr>
    <w:r>
      <w:rPr>
        <w:rStyle w:val="1037"/>
      </w:rPr>
      <w:fldChar w:fldCharType="begin"/>
    </w:r>
    <w:r>
      <w:rPr>
        <w:rStyle w:val="1037"/>
      </w:rPr>
      <w:instrText xml:space="preserve">PAGE  </w:instrText>
    </w:r>
    <w:r>
      <w:rPr>
        <w:rStyle w:val="1037"/>
      </w:rPr>
      <w:fldChar w:fldCharType="end"/>
    </w:r>
    <w:r>
      <w:rPr>
        <w:rStyle w:val="1037"/>
      </w:rPr>
    </w:r>
    <w:r>
      <w:rPr>
        <w:rStyle w:val="1037"/>
      </w:rPr>
    </w:r>
  </w:p>
  <w:p>
    <w:pPr>
      <w:pStyle w:val="102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8">
    <w:multiLevelType w:val="hybridMultilevel"/>
    <w:lvl w:ilvl="0">
      <w:start w:val="1"/>
      <w:numFmt w:val="decimal"/>
      <w:pStyle w:val="857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60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59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86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pStyle w:val="111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pStyle w:val="10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1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10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10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10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10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10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styleLink w:val="1098"/>
    <w:lvl w:ilvl="0">
      <w:start w:val="1"/>
      <w:numFmt w:val="decimal"/>
      <w:pStyle w:val="109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styleLink w:val="1094"/>
    <w:lvl w:ilvl="0">
      <w:start w:val="3"/>
      <w:numFmt w:val="decimal"/>
      <w:pStyle w:val="109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789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suff w:val="tab"/>
      <w:lvlText w:val="%1.%2.%3."/>
      <w:lvlJc w:val="left"/>
      <w:pPr>
        <w:ind w:left="2149" w:hanging="720"/>
      </w:pPr>
      <w:rPr>
        <w:rFonts w:hint="default"/>
        <w:color w:val="333333"/>
      </w:rPr>
    </w:lvl>
    <w:lvl w:ilvl="3">
      <w:start w:val="1"/>
      <w:numFmt w:val="decimal"/>
      <w:isLgl/>
      <w:suff w:val="tab"/>
      <w:lvlText w:val="%1.%2.%3.%4."/>
      <w:lvlJc w:val="left"/>
      <w:pPr>
        <w:ind w:left="2869" w:hanging="1080"/>
      </w:pPr>
      <w:rPr>
        <w:rFonts w:hint="default"/>
        <w:color w:val="333333"/>
      </w:rPr>
    </w:lvl>
    <w:lvl w:ilvl="4">
      <w:start w:val="1"/>
      <w:numFmt w:val="decimal"/>
      <w:isLgl/>
      <w:suff w:val="tab"/>
      <w:lvlText w:val="%1.%2.%3.%4.%5."/>
      <w:lvlJc w:val="left"/>
      <w:pPr>
        <w:ind w:left="3229" w:hanging="1080"/>
      </w:pPr>
      <w:rPr>
        <w:rFonts w:hint="default"/>
        <w:color w:val="333333"/>
      </w:rPr>
    </w:lvl>
    <w:lvl w:ilvl="5">
      <w:start w:val="1"/>
      <w:numFmt w:val="decimal"/>
      <w:isLgl/>
      <w:suff w:val="tab"/>
      <w:lvlText w:val="%1.%2.%3.%4.%5.%6."/>
      <w:lvlJc w:val="left"/>
      <w:pPr>
        <w:ind w:left="3949" w:hanging="1440"/>
      </w:pPr>
      <w:rPr>
        <w:rFonts w:hint="default"/>
        <w:color w:val="333333"/>
      </w:rPr>
    </w:lvl>
    <w:lvl w:ilvl="6">
      <w:start w:val="1"/>
      <w:numFmt w:val="decimal"/>
      <w:isLgl/>
      <w:suff w:val="tab"/>
      <w:lvlText w:val="%1.%2.%3.%4.%5.%6.%7."/>
      <w:lvlJc w:val="left"/>
      <w:pPr>
        <w:ind w:left="4669" w:hanging="1800"/>
      </w:pPr>
      <w:rPr>
        <w:rFonts w:hint="default"/>
        <w:color w:val="333333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029" w:hanging="1800"/>
      </w:pPr>
      <w:rPr>
        <w:rFonts w:hint="default"/>
        <w:color w:val="333333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749" w:hanging="2160"/>
      </w:pPr>
      <w:rPr>
        <w:rFonts w:hint="default"/>
        <w:color w:val="333333"/>
      </w:rPr>
    </w:lvl>
  </w:abstractNum>
  <w:abstractNum w:abstractNumId="43">
    <w:multiLevelType w:val="hybridMultilevel"/>
    <w:lvl w:ilvl="0">
      <w:start w:val="4"/>
      <w:numFmt w:val="bullet"/>
      <w:pStyle w:val="108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8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8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43"/>
  </w:num>
  <w:num w:numId="3">
    <w:abstractNumId w:val="40"/>
  </w:num>
  <w:num w:numId="4">
    <w:abstractNumId w:val="8"/>
  </w:num>
  <w:num w:numId="5">
    <w:abstractNumId w:val="25"/>
  </w:num>
  <w:num w:numId="6">
    <w:abstractNumId w:val="16"/>
  </w:num>
  <w:num w:numId="7">
    <w:abstractNumId w:val="10"/>
  </w:num>
  <w:num w:numId="8">
    <w:abstractNumId w:val="19"/>
  </w:num>
  <w:num w:numId="9">
    <w:abstractNumId w:val="26"/>
  </w:num>
  <w:num w:numId="10">
    <w:abstractNumId w:val="29"/>
  </w:num>
  <w:num w:numId="11">
    <w:abstractNumId w:val="9"/>
  </w:num>
  <w:num w:numId="12">
    <w:abstractNumId w:val="22"/>
  </w:num>
  <w:num w:numId="13">
    <w:abstractNumId w:val="0"/>
  </w:num>
  <w:num w:numId="14">
    <w:abstractNumId w:val="12"/>
  </w:num>
  <w:num w:numId="15">
    <w:abstractNumId w:val="27"/>
  </w:num>
  <w:num w:numId="16">
    <w:abstractNumId w:val="37"/>
  </w:num>
  <w:num w:numId="17">
    <w:abstractNumId w:val="4"/>
  </w:num>
  <w:num w:numId="18">
    <w:abstractNumId w:val="2"/>
  </w:num>
  <w:num w:numId="19">
    <w:abstractNumId w:val="18"/>
  </w:num>
  <w:num w:numId="20">
    <w:abstractNumId w:val="30"/>
  </w:num>
  <w:num w:numId="21">
    <w:abstractNumId w:val="14"/>
  </w:num>
  <w:num w:numId="22">
    <w:abstractNumId w:val="3"/>
  </w:num>
  <w:num w:numId="23">
    <w:abstractNumId w:val="24"/>
  </w:num>
  <w:num w:numId="24">
    <w:abstractNumId w:val="38"/>
  </w:num>
  <w:num w:numId="25">
    <w:abstractNumId w:val="21"/>
  </w:num>
  <w:num w:numId="26">
    <w:abstractNumId w:val="34"/>
  </w:num>
  <w:num w:numId="27">
    <w:abstractNumId w:val="36"/>
  </w:num>
  <w:num w:numId="28">
    <w:abstractNumId w:val="17"/>
  </w:num>
  <w:num w:numId="29">
    <w:abstractNumId w:val="28"/>
  </w:num>
  <w:num w:numId="30">
    <w:abstractNumId w:val="6"/>
  </w:num>
  <w:num w:numId="31">
    <w:abstractNumId w:val="5"/>
  </w:num>
  <w:num w:numId="32">
    <w:abstractNumId w:val="7"/>
  </w:num>
  <w:num w:numId="33">
    <w:abstractNumId w:val="23"/>
  </w:num>
  <w:num w:numId="34">
    <w:abstractNumId w:val="42"/>
  </w:num>
  <w:num w:numId="35">
    <w:abstractNumId w:val="1"/>
  </w:num>
  <w:num w:numId="36">
    <w:abstractNumId w:val="32"/>
  </w:num>
  <w:num w:numId="37">
    <w:abstractNumId w:val="20"/>
  </w:num>
  <w:num w:numId="38">
    <w:abstractNumId w:val="13"/>
  </w:num>
  <w:num w:numId="39">
    <w:abstractNumId w:val="11"/>
  </w:num>
  <w:num w:numId="40">
    <w:abstractNumId w:val="41"/>
  </w:num>
  <w:num w:numId="41">
    <w:abstractNumId w:val="35"/>
  </w:num>
  <w:num w:numId="42">
    <w:abstractNumId w:val="33"/>
  </w:num>
  <w:num w:numId="43">
    <w:abstractNumId w:val="39"/>
  </w:num>
  <w:num w:numId="44">
    <w:abstractNumId w:val="31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56" w:default="1">
    <w:name w:val="Normal"/>
    <w:qFormat/>
    <w:rPr>
      <w:sz w:val="28"/>
      <w:szCs w:val="28"/>
    </w:rPr>
  </w:style>
  <w:style w:type="paragraph" w:styleId="857">
    <w:name w:val="Heading 1"/>
    <w:basedOn w:val="859"/>
    <w:next w:val="856"/>
    <w:link w:val="1057"/>
    <w:qFormat/>
    <w:pPr>
      <w:numPr>
        <w:ilvl w:val="0"/>
      </w:numPr>
      <w:outlineLvl w:val="0"/>
    </w:pPr>
    <w:rPr>
      <w:sz w:val="28"/>
      <w:szCs w:val="28"/>
    </w:rPr>
  </w:style>
  <w:style w:type="paragraph" w:styleId="858">
    <w:name w:val="Heading 2"/>
    <w:basedOn w:val="860"/>
    <w:next w:val="856"/>
    <w:link w:val="1059"/>
    <w:qFormat/>
    <w:pPr>
      <w:outlineLvl w:val="1"/>
    </w:pPr>
  </w:style>
  <w:style w:type="paragraph" w:styleId="859">
    <w:name w:val="Heading 3"/>
    <w:basedOn w:val="856"/>
    <w:next w:val="856"/>
    <w:link w:val="106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60">
    <w:name w:val="Heading 4"/>
    <w:basedOn w:val="859"/>
    <w:next w:val="856"/>
    <w:link w:val="1061"/>
    <w:qFormat/>
    <w:pPr>
      <w:numPr>
        <w:ilvl w:val="1"/>
      </w:numPr>
      <w:outlineLvl w:val="3"/>
    </w:pPr>
    <w:rPr>
      <w:bCs/>
    </w:rPr>
  </w:style>
  <w:style w:type="paragraph" w:styleId="861">
    <w:name w:val="Heading 5"/>
    <w:basedOn w:val="856"/>
    <w:next w:val="856"/>
    <w:link w:val="106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62">
    <w:name w:val="Heading 6"/>
    <w:basedOn w:val="856"/>
    <w:next w:val="856"/>
    <w:link w:val="105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63">
    <w:name w:val="Heading 7"/>
    <w:basedOn w:val="856"/>
    <w:next w:val="856"/>
    <w:link w:val="105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64">
    <w:name w:val="Heading 8"/>
    <w:basedOn w:val="856"/>
    <w:next w:val="856"/>
    <w:link w:val="105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65">
    <w:name w:val="Heading 9"/>
    <w:basedOn w:val="856"/>
    <w:next w:val="856"/>
    <w:link w:val="106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66" w:default="1">
    <w:name w:val="Default Paragraph Font"/>
    <w:uiPriority w:val="1"/>
    <w:semiHidden/>
    <w:unhideWhenUsed/>
  </w:style>
  <w:style w:type="table" w:styleId="8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8" w:default="1">
    <w:name w:val="No List"/>
    <w:uiPriority w:val="99"/>
    <w:semiHidden/>
    <w:unhideWhenUsed/>
  </w:style>
  <w:style w:type="character" w:styleId="869" w:customStyle="1">
    <w:name w:val="Title Char"/>
    <w:basedOn w:val="866"/>
    <w:uiPriority w:val="10"/>
    <w:rPr>
      <w:sz w:val="48"/>
      <w:szCs w:val="48"/>
    </w:rPr>
  </w:style>
  <w:style w:type="character" w:styleId="870" w:customStyle="1">
    <w:name w:val="Caption Char"/>
    <w:uiPriority w:val="99"/>
  </w:style>
  <w:style w:type="character" w:styleId="871" w:customStyle="1">
    <w:name w:val="Heading 1 Char"/>
    <w:basedOn w:val="866"/>
    <w:uiPriority w:val="9"/>
    <w:rPr>
      <w:rFonts w:ascii="Arial" w:hAnsi="Arial" w:eastAsia="Arial" w:cs="Arial"/>
      <w:sz w:val="40"/>
      <w:szCs w:val="40"/>
    </w:rPr>
  </w:style>
  <w:style w:type="character" w:styleId="872" w:customStyle="1">
    <w:name w:val="Heading 2 Char"/>
    <w:basedOn w:val="866"/>
    <w:uiPriority w:val="9"/>
    <w:rPr>
      <w:rFonts w:ascii="Arial" w:hAnsi="Arial" w:eastAsia="Arial" w:cs="Arial"/>
      <w:sz w:val="34"/>
    </w:rPr>
  </w:style>
  <w:style w:type="character" w:styleId="873" w:customStyle="1">
    <w:name w:val="Heading 3 Char"/>
    <w:basedOn w:val="866"/>
    <w:uiPriority w:val="9"/>
    <w:rPr>
      <w:rFonts w:ascii="Arial" w:hAnsi="Arial" w:eastAsia="Arial" w:cs="Arial"/>
      <w:sz w:val="30"/>
      <w:szCs w:val="30"/>
    </w:rPr>
  </w:style>
  <w:style w:type="character" w:styleId="874" w:customStyle="1">
    <w:name w:val="Heading 4 Char"/>
    <w:basedOn w:val="866"/>
    <w:uiPriority w:val="9"/>
    <w:rPr>
      <w:rFonts w:ascii="Arial" w:hAnsi="Arial" w:eastAsia="Arial" w:cs="Arial"/>
      <w:b/>
      <w:bCs/>
      <w:sz w:val="26"/>
      <w:szCs w:val="26"/>
    </w:rPr>
  </w:style>
  <w:style w:type="character" w:styleId="875" w:customStyle="1">
    <w:name w:val="Heading 5 Char"/>
    <w:basedOn w:val="866"/>
    <w:uiPriority w:val="9"/>
    <w:rPr>
      <w:rFonts w:ascii="Arial" w:hAnsi="Arial" w:eastAsia="Arial" w:cs="Arial"/>
      <w:b/>
      <w:bCs/>
      <w:sz w:val="24"/>
      <w:szCs w:val="24"/>
    </w:rPr>
  </w:style>
  <w:style w:type="character" w:styleId="876" w:customStyle="1">
    <w:name w:val="Heading 6 Char"/>
    <w:basedOn w:val="866"/>
    <w:uiPriority w:val="9"/>
    <w:rPr>
      <w:rFonts w:ascii="Arial" w:hAnsi="Arial" w:eastAsia="Arial" w:cs="Arial"/>
      <w:b/>
      <w:bCs/>
      <w:sz w:val="22"/>
      <w:szCs w:val="22"/>
    </w:rPr>
  </w:style>
  <w:style w:type="character" w:styleId="877" w:customStyle="1">
    <w:name w:val="Heading 7 Char"/>
    <w:basedOn w:val="8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78" w:customStyle="1">
    <w:name w:val="Heading 8 Char"/>
    <w:basedOn w:val="866"/>
    <w:uiPriority w:val="9"/>
    <w:rPr>
      <w:rFonts w:ascii="Arial" w:hAnsi="Arial" w:eastAsia="Arial" w:cs="Arial"/>
      <w:i/>
      <w:iCs/>
      <w:sz w:val="22"/>
      <w:szCs w:val="22"/>
    </w:rPr>
  </w:style>
  <w:style w:type="character" w:styleId="879" w:customStyle="1">
    <w:name w:val="Heading 9 Char"/>
    <w:basedOn w:val="866"/>
    <w:uiPriority w:val="9"/>
    <w:rPr>
      <w:rFonts w:ascii="Arial" w:hAnsi="Arial" w:eastAsia="Arial" w:cs="Arial"/>
      <w:i/>
      <w:iCs/>
      <w:sz w:val="21"/>
      <w:szCs w:val="21"/>
    </w:rPr>
  </w:style>
  <w:style w:type="paragraph" w:styleId="880">
    <w:name w:val="Title"/>
    <w:basedOn w:val="856"/>
    <w:next w:val="856"/>
    <w:link w:val="8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81" w:customStyle="1">
    <w:name w:val="Заголовок Знак"/>
    <w:basedOn w:val="866"/>
    <w:link w:val="880"/>
    <w:uiPriority w:val="10"/>
    <w:rPr>
      <w:sz w:val="48"/>
      <w:szCs w:val="48"/>
    </w:rPr>
  </w:style>
  <w:style w:type="character" w:styleId="882" w:customStyle="1">
    <w:name w:val="Subtitle Char"/>
    <w:basedOn w:val="866"/>
    <w:uiPriority w:val="11"/>
    <w:rPr>
      <w:sz w:val="24"/>
      <w:szCs w:val="24"/>
    </w:rPr>
  </w:style>
  <w:style w:type="character" w:styleId="883" w:customStyle="1">
    <w:name w:val="Quote Char"/>
    <w:uiPriority w:val="29"/>
    <w:rPr>
      <w:i/>
    </w:rPr>
  </w:style>
  <w:style w:type="character" w:styleId="884" w:customStyle="1">
    <w:name w:val="Intense Quote Char"/>
    <w:uiPriority w:val="30"/>
    <w:rPr>
      <w:i/>
    </w:rPr>
  </w:style>
  <w:style w:type="character" w:styleId="885" w:customStyle="1">
    <w:name w:val="Header Char"/>
    <w:basedOn w:val="866"/>
    <w:uiPriority w:val="99"/>
  </w:style>
  <w:style w:type="character" w:styleId="886" w:customStyle="1">
    <w:name w:val="Footer Char"/>
    <w:basedOn w:val="866"/>
    <w:uiPriority w:val="99"/>
  </w:style>
  <w:style w:type="character" w:styleId="887" w:customStyle="1">
    <w:name w:val="Нижний колонтитул Знак"/>
    <w:link w:val="1028"/>
    <w:uiPriority w:val="99"/>
  </w:style>
  <w:style w:type="table" w:styleId="888" w:customStyle="1">
    <w:name w:val="Table Grid Light"/>
    <w:basedOn w:val="86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89">
    <w:name w:val="Plain Table 1"/>
    <w:basedOn w:val="86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0">
    <w:name w:val="Plain Table 2"/>
    <w:basedOn w:val="86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1">
    <w:name w:val="Plain Table 3"/>
    <w:basedOn w:val="86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2">
    <w:name w:val="Plain Table 4"/>
    <w:basedOn w:val="86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Plain Table 5"/>
    <w:basedOn w:val="86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4">
    <w:name w:val="Grid Table 1 Light"/>
    <w:basedOn w:val="86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Grid Table 1 Light - Accent 1"/>
    <w:basedOn w:val="86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Grid Table 1 Light - Accent 2"/>
    <w:basedOn w:val="86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Grid Table 1 Light - Accent 3"/>
    <w:basedOn w:val="86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Grid Table 1 Light - Accent 4"/>
    <w:basedOn w:val="86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Grid Table 1 Light - Accent 5"/>
    <w:basedOn w:val="86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Grid Table 1 Light - Accent 6"/>
    <w:basedOn w:val="86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Grid Table 2"/>
    <w:basedOn w:val="86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2 - Accent 1"/>
    <w:basedOn w:val="86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2 - Accent 2"/>
    <w:basedOn w:val="86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2 - Accent 3"/>
    <w:basedOn w:val="86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2 - Accent 4"/>
    <w:basedOn w:val="86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2 - Accent 5"/>
    <w:basedOn w:val="86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2 - Accent 6"/>
    <w:basedOn w:val="86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3"/>
    <w:basedOn w:val="86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3 - Accent 1"/>
    <w:basedOn w:val="86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Grid Table 3 - Accent 2"/>
    <w:basedOn w:val="86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3 - Accent 3"/>
    <w:basedOn w:val="86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3 - Accent 4"/>
    <w:basedOn w:val="86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3 - Accent 5"/>
    <w:basedOn w:val="86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3 - Accent 6"/>
    <w:basedOn w:val="86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4"/>
    <w:basedOn w:val="86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6" w:customStyle="1">
    <w:name w:val="Grid Table 4 - Accent 1"/>
    <w:basedOn w:val="867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917" w:customStyle="1">
    <w:name w:val="Grid Table 4 - Accent 2"/>
    <w:basedOn w:val="86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18" w:customStyle="1">
    <w:name w:val="Grid Table 4 - Accent 3"/>
    <w:basedOn w:val="86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19" w:customStyle="1">
    <w:name w:val="Grid Table 4 - Accent 4"/>
    <w:basedOn w:val="86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20" w:customStyle="1">
    <w:name w:val="Grid Table 4 - Accent 5"/>
    <w:basedOn w:val="867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921" w:customStyle="1">
    <w:name w:val="Grid Table 4 - Accent 6"/>
    <w:basedOn w:val="86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22">
    <w:name w:val="Grid Table 5 Dark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23" w:customStyle="1">
    <w:name w:val="Grid Table 5 Dark- Accent 1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924" w:customStyle="1">
    <w:name w:val="Grid Table 5 Dark - Accent 2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25" w:customStyle="1">
    <w:name w:val="Grid Table 5 Dark - Accent 3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26" w:customStyle="1">
    <w:name w:val="Grid Table 5 Dark- Accent 4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27" w:customStyle="1">
    <w:name w:val="Grid Table 5 Dark - Accent 5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28" w:customStyle="1">
    <w:name w:val="Grid Table 5 Dark - Accent 6"/>
    <w:basedOn w:val="8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29">
    <w:name w:val="Grid Table 6 Colorful"/>
    <w:basedOn w:val="86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30" w:customStyle="1">
    <w:name w:val="Grid Table 6 Colorful - Accent 1"/>
    <w:basedOn w:val="867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31" w:customStyle="1">
    <w:name w:val="Grid Table 6 Colorful - Accent 2"/>
    <w:basedOn w:val="86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32" w:customStyle="1">
    <w:name w:val="Grid Table 6 Colorful - Accent 3"/>
    <w:basedOn w:val="86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33" w:customStyle="1">
    <w:name w:val="Grid Table 6 Colorful - Accent 4"/>
    <w:basedOn w:val="86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34" w:customStyle="1">
    <w:name w:val="Grid Table 6 Colorful - Accent 5"/>
    <w:basedOn w:val="867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35" w:customStyle="1">
    <w:name w:val="Grid Table 6 Colorful - Accent 6"/>
    <w:basedOn w:val="86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36">
    <w:name w:val="Grid Table 7 Colorful"/>
    <w:basedOn w:val="86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7 Colorful - Accent 1"/>
    <w:basedOn w:val="867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7 Colorful - Accent 2"/>
    <w:basedOn w:val="86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7 Colorful - Accent 3"/>
    <w:basedOn w:val="86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7 Colorful - Accent 4"/>
    <w:basedOn w:val="86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7 Colorful - Accent 5"/>
    <w:basedOn w:val="867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Grid Table 7 Colorful - Accent 6"/>
    <w:basedOn w:val="86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1 Light"/>
    <w:basedOn w:val="86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List Table 1 Light - Accent 1"/>
    <w:basedOn w:val="867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List Table 1 Light - Accent 2"/>
    <w:basedOn w:val="867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1 Light - Accent 3"/>
    <w:basedOn w:val="867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st Table 1 Light - Accent 4"/>
    <w:basedOn w:val="867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List Table 1 Light - Accent 5"/>
    <w:basedOn w:val="867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List Table 1 Light - Accent 6"/>
    <w:basedOn w:val="867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List Table 2"/>
    <w:basedOn w:val="86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51" w:customStyle="1">
    <w:name w:val="List Table 2 - Accent 1"/>
    <w:basedOn w:val="867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52" w:customStyle="1">
    <w:name w:val="List Table 2 - Accent 2"/>
    <w:basedOn w:val="86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53" w:customStyle="1">
    <w:name w:val="List Table 2 - Accent 3"/>
    <w:basedOn w:val="86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54" w:customStyle="1">
    <w:name w:val="List Table 2 - Accent 4"/>
    <w:basedOn w:val="86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55" w:customStyle="1">
    <w:name w:val="List Table 2 - Accent 5"/>
    <w:basedOn w:val="867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56" w:customStyle="1">
    <w:name w:val="List Table 2 - Accent 6"/>
    <w:basedOn w:val="86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57">
    <w:name w:val="List Table 3"/>
    <w:basedOn w:val="86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3 - Accent 1"/>
    <w:basedOn w:val="867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3 - Accent 2"/>
    <w:basedOn w:val="86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3 - Accent 3"/>
    <w:basedOn w:val="86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3 - Accent 4"/>
    <w:basedOn w:val="86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3 - Accent 5"/>
    <w:basedOn w:val="867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List Table 3 - Accent 6"/>
    <w:basedOn w:val="86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4"/>
    <w:basedOn w:val="86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 w:customStyle="1">
    <w:name w:val="List Table 4 - Accent 1"/>
    <w:basedOn w:val="867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 w:customStyle="1">
    <w:name w:val="List Table 4 - Accent 2"/>
    <w:basedOn w:val="86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 w:customStyle="1">
    <w:name w:val="List Table 4 - Accent 3"/>
    <w:basedOn w:val="86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 w:customStyle="1">
    <w:name w:val="List Table 4 - Accent 4"/>
    <w:basedOn w:val="86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 w:customStyle="1">
    <w:name w:val="List Table 4 - Accent 5"/>
    <w:basedOn w:val="867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 w:customStyle="1">
    <w:name w:val="List Table 4 - Accent 6"/>
    <w:basedOn w:val="86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5 Dark"/>
    <w:basedOn w:val="86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2" w:customStyle="1">
    <w:name w:val="List Table 5 Dark - Accent 1"/>
    <w:basedOn w:val="867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3" w:customStyle="1">
    <w:name w:val="List Table 5 Dark - Accent 2"/>
    <w:basedOn w:val="86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4" w:customStyle="1">
    <w:name w:val="List Table 5 Dark - Accent 3"/>
    <w:basedOn w:val="86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5" w:customStyle="1">
    <w:name w:val="List Table 5 Dark - Accent 4"/>
    <w:basedOn w:val="86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6" w:customStyle="1">
    <w:name w:val="List Table 5 Dark - Accent 5"/>
    <w:basedOn w:val="867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7" w:customStyle="1">
    <w:name w:val="List Table 5 Dark - Accent 6"/>
    <w:basedOn w:val="86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8">
    <w:name w:val="List Table 6 Colorful"/>
    <w:basedOn w:val="86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79" w:customStyle="1">
    <w:name w:val="List Table 6 Colorful - Accent 1"/>
    <w:basedOn w:val="867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80" w:customStyle="1">
    <w:name w:val="List Table 6 Colorful - Accent 2"/>
    <w:basedOn w:val="86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81" w:customStyle="1">
    <w:name w:val="List Table 6 Colorful - Accent 3"/>
    <w:basedOn w:val="86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82" w:customStyle="1">
    <w:name w:val="List Table 6 Colorful - Accent 4"/>
    <w:basedOn w:val="86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83" w:customStyle="1">
    <w:name w:val="List Table 6 Colorful - Accent 5"/>
    <w:basedOn w:val="867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84" w:customStyle="1">
    <w:name w:val="List Table 6 Colorful - Accent 6"/>
    <w:basedOn w:val="86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85">
    <w:name w:val="List Table 7 Colorful"/>
    <w:basedOn w:val="86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 w:customStyle="1">
    <w:name w:val="List Table 7 Colorful - Accent 1"/>
    <w:basedOn w:val="867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 w:customStyle="1">
    <w:name w:val="List Table 7 Colorful - Accent 2"/>
    <w:basedOn w:val="86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 w:customStyle="1">
    <w:name w:val="List Table 7 Colorful - Accent 3"/>
    <w:basedOn w:val="86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List Table 7 Colorful - Accent 4"/>
    <w:basedOn w:val="86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List Table 7 Colorful - Accent 5"/>
    <w:basedOn w:val="867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List Table 7 Colorful - Accent 6"/>
    <w:basedOn w:val="86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Lined - Accent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3" w:customStyle="1">
    <w:name w:val="Lined - Accent 1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94" w:customStyle="1">
    <w:name w:val="Lined - Accent 2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95" w:customStyle="1">
    <w:name w:val="Lined - Accent 3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96" w:customStyle="1">
    <w:name w:val="Lined - Accent 4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97" w:customStyle="1">
    <w:name w:val="Lined - Accent 5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98" w:customStyle="1">
    <w:name w:val="Lined - Accent 6"/>
    <w:basedOn w:val="8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99" w:customStyle="1">
    <w:name w:val="Bordered &amp; Lined - Accent"/>
    <w:basedOn w:val="86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00" w:customStyle="1">
    <w:name w:val="Bordered &amp; Lined - Accent 1"/>
    <w:basedOn w:val="867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01" w:customStyle="1">
    <w:name w:val="Bordered &amp; Lined - Accent 2"/>
    <w:basedOn w:val="867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02" w:customStyle="1">
    <w:name w:val="Bordered &amp; Lined - Accent 3"/>
    <w:basedOn w:val="867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03" w:customStyle="1">
    <w:name w:val="Bordered &amp; Lined - Accent 4"/>
    <w:basedOn w:val="867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04" w:customStyle="1">
    <w:name w:val="Bordered &amp; Lined - Accent 5"/>
    <w:basedOn w:val="867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05" w:customStyle="1">
    <w:name w:val="Bordered &amp; Lined - Accent 6"/>
    <w:basedOn w:val="867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06" w:customStyle="1">
    <w:name w:val="Bordered"/>
    <w:basedOn w:val="86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07" w:customStyle="1">
    <w:name w:val="Bordered - Accent 1"/>
    <w:basedOn w:val="86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08" w:customStyle="1">
    <w:name w:val="Bordered - Accent 2"/>
    <w:basedOn w:val="86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09" w:customStyle="1">
    <w:name w:val="Bordered - Accent 3"/>
    <w:basedOn w:val="86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10" w:customStyle="1">
    <w:name w:val="Bordered - Accent 4"/>
    <w:basedOn w:val="86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11" w:customStyle="1">
    <w:name w:val="Bordered - Accent 5"/>
    <w:basedOn w:val="86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012" w:customStyle="1">
    <w:name w:val="Bordered - Accent 6"/>
    <w:basedOn w:val="86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13" w:customStyle="1">
    <w:name w:val="Footnote Text Char"/>
    <w:uiPriority w:val="99"/>
    <w:rPr>
      <w:sz w:val="18"/>
    </w:rPr>
  </w:style>
  <w:style w:type="character" w:styleId="1014" w:customStyle="1">
    <w:name w:val="Endnote Text Char"/>
    <w:uiPriority w:val="99"/>
    <w:rPr>
      <w:sz w:val="20"/>
    </w:rPr>
  </w:style>
  <w:style w:type="paragraph" w:styleId="1015">
    <w:name w:val="table of figures"/>
    <w:basedOn w:val="856"/>
    <w:next w:val="856"/>
    <w:uiPriority w:val="99"/>
    <w:unhideWhenUsed/>
  </w:style>
  <w:style w:type="paragraph" w:styleId="1016" w:customStyle="1">
    <w:name w:val="Название раздела инструкции"/>
    <w:basedOn w:val="856"/>
    <w:pPr>
      <w:jc w:val="center"/>
    </w:pPr>
    <w:rPr>
      <w:b/>
    </w:rPr>
  </w:style>
  <w:style w:type="paragraph" w:styleId="1017" w:customStyle="1">
    <w:name w:val="Раздел положения"/>
    <w:basedOn w:val="856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18" w:customStyle="1">
    <w:name w:val="Подраздел раздела положения"/>
    <w:basedOn w:val="856"/>
    <w:pPr>
      <w:numPr>
        <w:ilvl w:val="1"/>
        <w:numId w:val="1"/>
      </w:numPr>
      <w:jc w:val="both"/>
      <w:spacing w:before="80" w:after="80"/>
    </w:pPr>
  </w:style>
  <w:style w:type="paragraph" w:styleId="1019">
    <w:name w:val="footnote text"/>
    <w:basedOn w:val="856"/>
    <w:link w:val="1093"/>
    <w:rPr>
      <w:sz w:val="20"/>
      <w:szCs w:val="20"/>
    </w:rPr>
  </w:style>
  <w:style w:type="character" w:styleId="1020">
    <w:name w:val="footnote reference"/>
    <w:rPr>
      <w:vertAlign w:val="superscript"/>
    </w:rPr>
  </w:style>
  <w:style w:type="paragraph" w:styleId="1021" w:customStyle="1">
    <w:name w:val="Шапка 1"/>
    <w:basedOn w:val="856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22" w:customStyle="1">
    <w:name w:val="Шапка 2"/>
    <w:basedOn w:val="856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23" w:customStyle="1">
    <w:name w:val="Шапка 3"/>
    <w:basedOn w:val="856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24" w:customStyle="1">
    <w:name w:val="Название1"/>
    <w:basedOn w:val="856"/>
    <w:link w:val="1066"/>
    <w:uiPriority w:val="10"/>
    <w:qFormat/>
    <w:pPr>
      <w:jc w:val="center"/>
    </w:pPr>
    <w:rPr>
      <w:szCs w:val="20"/>
    </w:rPr>
  </w:style>
  <w:style w:type="paragraph" w:styleId="1025">
    <w:name w:val="Header"/>
    <w:basedOn w:val="856"/>
    <w:link w:val="1110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26">
    <w:name w:val="Body Text Indent"/>
    <w:basedOn w:val="856"/>
    <w:pPr>
      <w:ind w:left="360"/>
    </w:pPr>
    <w:rPr>
      <w:sz w:val="24"/>
      <w:szCs w:val="24"/>
    </w:rPr>
  </w:style>
  <w:style w:type="table" w:styleId="1027">
    <w:name w:val="Table Grid"/>
    <w:basedOn w:val="867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28">
    <w:name w:val="Footer"/>
    <w:basedOn w:val="856"/>
    <w:link w:val="887"/>
    <w:pPr>
      <w:tabs>
        <w:tab w:val="center" w:pos="4677" w:leader="none"/>
        <w:tab w:val="right" w:pos="9355" w:leader="none"/>
      </w:tabs>
    </w:pPr>
  </w:style>
  <w:style w:type="paragraph" w:styleId="1029">
    <w:name w:val="Body Text"/>
    <w:basedOn w:val="856"/>
    <w:link w:val="1096"/>
    <w:pPr>
      <w:spacing w:after="120"/>
    </w:pPr>
  </w:style>
  <w:style w:type="paragraph" w:styleId="1030">
    <w:name w:val="Body Text Indent 2"/>
    <w:basedOn w:val="856"/>
    <w:pPr>
      <w:ind w:left="283"/>
      <w:spacing w:after="120" w:line="480" w:lineRule="auto"/>
    </w:pPr>
  </w:style>
  <w:style w:type="paragraph" w:styleId="1031">
    <w:name w:val="Body Text 3"/>
    <w:basedOn w:val="856"/>
    <w:pPr>
      <w:spacing w:after="120"/>
    </w:pPr>
    <w:rPr>
      <w:sz w:val="16"/>
      <w:szCs w:val="16"/>
    </w:rPr>
  </w:style>
  <w:style w:type="paragraph" w:styleId="1032">
    <w:name w:val="Body Text Indent 3"/>
    <w:basedOn w:val="856"/>
    <w:pPr>
      <w:ind w:left="283"/>
      <w:spacing w:after="120"/>
    </w:pPr>
    <w:rPr>
      <w:sz w:val="16"/>
      <w:szCs w:val="16"/>
    </w:rPr>
  </w:style>
  <w:style w:type="paragraph" w:styleId="1033">
    <w:name w:val="Body Text 2"/>
    <w:basedOn w:val="856"/>
    <w:pPr>
      <w:spacing w:after="120" w:line="480" w:lineRule="auto"/>
    </w:pPr>
  </w:style>
  <w:style w:type="paragraph" w:styleId="1034">
    <w:name w:val="Block Text"/>
    <w:basedOn w:val="856"/>
    <w:pPr>
      <w:ind w:left="-567" w:right="-766"/>
      <w:jc w:val="center"/>
    </w:pPr>
    <w:rPr>
      <w:b/>
      <w:bCs/>
      <w:sz w:val="24"/>
      <w:szCs w:val="20"/>
    </w:rPr>
  </w:style>
  <w:style w:type="paragraph" w:styleId="1035" w:customStyle="1">
    <w:name w:val="Подпункт"/>
    <w:basedOn w:val="856"/>
    <w:link w:val="109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36" w:customStyle="1">
    <w:name w:val="Пункт2"/>
    <w:basedOn w:val="856"/>
    <w:link w:val="111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37">
    <w:name w:val="page number"/>
    <w:basedOn w:val="866"/>
  </w:style>
  <w:style w:type="paragraph" w:styleId="1038">
    <w:name w:val="toc 1"/>
    <w:basedOn w:val="856"/>
    <w:next w:val="856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39">
    <w:name w:val="toc 3"/>
    <w:basedOn w:val="856"/>
    <w:next w:val="856"/>
    <w:uiPriority w:val="39"/>
    <w:pPr>
      <w:ind w:left="280"/>
    </w:pPr>
    <w:rPr>
      <w:rFonts w:cstheme="minorHAnsi"/>
      <w:sz w:val="20"/>
      <w:szCs w:val="20"/>
    </w:rPr>
  </w:style>
  <w:style w:type="character" w:styleId="1040">
    <w:name w:val="Hyperlink"/>
    <w:uiPriority w:val="99"/>
    <w:rPr>
      <w:color w:val="0000ff"/>
      <w:u w:val="single"/>
    </w:rPr>
  </w:style>
  <w:style w:type="paragraph" w:styleId="1041" w:customStyle="1">
    <w:name w:val="Раздел регламента"/>
    <w:basedOn w:val="856"/>
  </w:style>
  <w:style w:type="paragraph" w:styleId="1042" w:customStyle="1">
    <w:name w:val="Приложение к регламенту"/>
    <w:basedOn w:val="856"/>
    <w:pPr>
      <w:jc w:val="right"/>
    </w:pPr>
  </w:style>
  <w:style w:type="paragraph" w:styleId="1043">
    <w:name w:val="toc 2"/>
    <w:basedOn w:val="856"/>
    <w:next w:val="856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1044">
    <w:name w:val="Balloon Text"/>
    <w:basedOn w:val="856"/>
    <w:semiHidden/>
    <w:rPr>
      <w:rFonts w:ascii="Tahoma" w:hAnsi="Tahoma" w:cs="Tahoma"/>
      <w:sz w:val="16"/>
      <w:szCs w:val="16"/>
    </w:rPr>
  </w:style>
  <w:style w:type="character" w:styleId="1045">
    <w:name w:val="annotation reference"/>
    <w:semiHidden/>
    <w:rPr>
      <w:sz w:val="16"/>
      <w:szCs w:val="16"/>
    </w:rPr>
  </w:style>
  <w:style w:type="paragraph" w:styleId="1046">
    <w:name w:val="annotation text"/>
    <w:basedOn w:val="856"/>
    <w:link w:val="1111"/>
    <w:semiHidden/>
    <w:rPr>
      <w:sz w:val="20"/>
      <w:szCs w:val="20"/>
    </w:rPr>
  </w:style>
  <w:style w:type="paragraph" w:styleId="1047">
    <w:name w:val="annotation subject"/>
    <w:basedOn w:val="1046"/>
    <w:next w:val="1046"/>
    <w:semiHidden/>
    <w:rPr>
      <w:b/>
      <w:bCs/>
    </w:rPr>
  </w:style>
  <w:style w:type="paragraph" w:styleId="1048" w:customStyle="1">
    <w:name w:val="Обычный (веб)1"/>
    <w:basedOn w:val="856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49">
    <w:name w:val="toc 9"/>
    <w:basedOn w:val="856"/>
    <w:next w:val="856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50">
    <w:name w:val="toc 5"/>
    <w:basedOn w:val="856"/>
    <w:next w:val="856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51">
    <w:name w:val="toc 4"/>
    <w:basedOn w:val="856"/>
    <w:next w:val="856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1052" w:customStyle="1">
    <w:name w:val="Раздел положения 2"/>
    <w:basedOn w:val="856"/>
    <w:pPr>
      <w:jc w:val="both"/>
      <w:pageBreakBefore/>
      <w:outlineLvl w:val="0"/>
    </w:pPr>
    <w:rPr>
      <w:b/>
    </w:rPr>
  </w:style>
  <w:style w:type="character" w:styleId="1053">
    <w:name w:val="Strong"/>
    <w:uiPriority w:val="22"/>
    <w:qFormat/>
    <w:rPr>
      <w:b/>
      <w:bCs/>
    </w:rPr>
  </w:style>
  <w:style w:type="character" w:styleId="1054" w:customStyle="1">
    <w:name w:val="Заголовок 6 Знак"/>
    <w:link w:val="862"/>
    <w:uiPriority w:val="9"/>
    <w:rPr>
      <w:rFonts w:ascii="Cambria" w:hAnsi="Cambria"/>
      <w:i/>
      <w:iCs/>
      <w:color w:val="243f60"/>
    </w:rPr>
  </w:style>
  <w:style w:type="character" w:styleId="1055" w:customStyle="1">
    <w:name w:val="Заголовок 7 Знак"/>
    <w:link w:val="863"/>
    <w:uiPriority w:val="9"/>
    <w:rPr>
      <w:rFonts w:ascii="Cambria" w:hAnsi="Cambria"/>
      <w:i/>
      <w:iCs/>
      <w:color w:val="404040"/>
    </w:rPr>
  </w:style>
  <w:style w:type="character" w:styleId="1056" w:customStyle="1">
    <w:name w:val="Заголовок 8 Знак"/>
    <w:link w:val="864"/>
    <w:uiPriority w:val="9"/>
    <w:rPr>
      <w:rFonts w:ascii="Cambria" w:hAnsi="Cambria"/>
      <w:color w:val="4f81bd"/>
    </w:rPr>
  </w:style>
  <w:style w:type="character" w:styleId="1057" w:customStyle="1">
    <w:name w:val="Заголовок 1 Знак"/>
    <w:link w:val="857"/>
    <w:rPr>
      <w:rFonts w:eastAsia="Calibri"/>
      <w:b/>
      <w:sz w:val="28"/>
      <w:szCs w:val="28"/>
    </w:rPr>
  </w:style>
  <w:style w:type="paragraph" w:styleId="1058" w:customStyle="1">
    <w:name w:val="Знак Знак Знак Знак Знак Знак Знак Знак Знак"/>
    <w:basedOn w:val="85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59" w:customStyle="1">
    <w:name w:val="Заголовок 2 Знак"/>
    <w:link w:val="858"/>
    <w:rPr>
      <w:rFonts w:eastAsia="Calibri"/>
      <w:b/>
      <w:bCs/>
      <w:sz w:val="24"/>
      <w:szCs w:val="24"/>
    </w:rPr>
  </w:style>
  <w:style w:type="character" w:styleId="1060" w:customStyle="1">
    <w:name w:val="Заголовок 3 Знак"/>
    <w:link w:val="859"/>
    <w:rPr>
      <w:rFonts w:eastAsia="Calibri"/>
      <w:b/>
      <w:sz w:val="24"/>
      <w:szCs w:val="24"/>
    </w:rPr>
  </w:style>
  <w:style w:type="character" w:styleId="1061" w:customStyle="1">
    <w:name w:val="Заголовок 4 Знак"/>
    <w:link w:val="860"/>
    <w:rPr>
      <w:rFonts w:eastAsia="Calibri"/>
      <w:b/>
      <w:bCs/>
      <w:sz w:val="24"/>
      <w:szCs w:val="24"/>
    </w:rPr>
  </w:style>
  <w:style w:type="character" w:styleId="1062" w:customStyle="1">
    <w:name w:val="Заголовок 5 Знак"/>
    <w:link w:val="861"/>
    <w:uiPriority w:val="9"/>
    <w:rPr>
      <w:b/>
      <w:bCs/>
      <w:i/>
      <w:iCs/>
      <w:sz w:val="26"/>
      <w:szCs w:val="26"/>
    </w:rPr>
  </w:style>
  <w:style w:type="character" w:styleId="1063" w:customStyle="1">
    <w:name w:val="Заголовок 9 Знак"/>
    <w:link w:val="865"/>
    <w:uiPriority w:val="9"/>
    <w:rPr>
      <w:rFonts w:ascii="Arial" w:hAnsi="Arial" w:cs="Arial"/>
      <w:sz w:val="22"/>
      <w:szCs w:val="22"/>
    </w:rPr>
  </w:style>
  <w:style w:type="paragraph" w:styleId="1064">
    <w:name w:val="No Spacing"/>
    <w:basedOn w:val="856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65">
    <w:name w:val="Caption"/>
    <w:basedOn w:val="856"/>
    <w:next w:val="856"/>
    <w:link w:val="87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66" w:customStyle="1">
    <w:name w:val="Название Знак"/>
    <w:link w:val="1024"/>
    <w:uiPriority w:val="10"/>
    <w:rPr>
      <w:sz w:val="28"/>
    </w:rPr>
  </w:style>
  <w:style w:type="paragraph" w:styleId="1067">
    <w:name w:val="Subtitle"/>
    <w:basedOn w:val="856"/>
    <w:next w:val="856"/>
    <w:link w:val="106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68" w:customStyle="1">
    <w:name w:val="Подзаголовок Знак"/>
    <w:link w:val="106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69">
    <w:name w:val="Emphasis"/>
    <w:uiPriority w:val="20"/>
    <w:qFormat/>
    <w:rPr>
      <w:i/>
      <w:iCs/>
    </w:rPr>
  </w:style>
  <w:style w:type="paragraph" w:styleId="1070">
    <w:name w:val="List Paragraph"/>
    <w:basedOn w:val="856"/>
    <w:link w:val="110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71">
    <w:name w:val="Quote"/>
    <w:basedOn w:val="856"/>
    <w:next w:val="856"/>
    <w:link w:val="107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72" w:customStyle="1">
    <w:name w:val="Цитата 2 Знак"/>
    <w:link w:val="1071"/>
    <w:uiPriority w:val="29"/>
    <w:rPr>
      <w:rFonts w:ascii="Calibri" w:hAnsi="Calibri" w:eastAsia="Calibri"/>
      <w:i/>
      <w:iCs/>
      <w:color w:val="000000"/>
    </w:rPr>
  </w:style>
  <w:style w:type="paragraph" w:styleId="1073">
    <w:name w:val="Intense Quote"/>
    <w:basedOn w:val="856"/>
    <w:next w:val="856"/>
    <w:link w:val="107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74" w:customStyle="1">
    <w:name w:val="Выделенная цитата Знак"/>
    <w:link w:val="1073"/>
    <w:uiPriority w:val="30"/>
    <w:rPr>
      <w:rFonts w:ascii="Calibri" w:hAnsi="Calibri" w:eastAsia="Calibri"/>
      <w:b/>
      <w:bCs/>
      <w:i/>
      <w:iCs/>
      <w:color w:val="4f81bd"/>
    </w:rPr>
  </w:style>
  <w:style w:type="character" w:styleId="1075">
    <w:name w:val="Subtle Emphasis"/>
    <w:uiPriority w:val="19"/>
    <w:qFormat/>
    <w:rPr>
      <w:i/>
      <w:iCs/>
      <w:color w:val="808080"/>
    </w:rPr>
  </w:style>
  <w:style w:type="character" w:styleId="1076">
    <w:name w:val="Intense Emphasis"/>
    <w:uiPriority w:val="21"/>
    <w:qFormat/>
    <w:rPr>
      <w:b/>
      <w:bCs/>
      <w:i/>
      <w:iCs/>
      <w:color w:val="4f81bd"/>
    </w:rPr>
  </w:style>
  <w:style w:type="character" w:styleId="1077">
    <w:name w:val="Subtle Reference"/>
    <w:uiPriority w:val="31"/>
    <w:qFormat/>
    <w:rPr>
      <w:smallCaps/>
      <w:color w:val="c0504d"/>
      <w:u w:val="single"/>
    </w:rPr>
  </w:style>
  <w:style w:type="character" w:styleId="107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79">
    <w:name w:val="Book Title"/>
    <w:uiPriority w:val="33"/>
    <w:qFormat/>
    <w:rPr>
      <w:b/>
      <w:bCs/>
      <w:smallCaps/>
      <w:spacing w:val="5"/>
    </w:rPr>
  </w:style>
  <w:style w:type="paragraph" w:styleId="1080">
    <w:name w:val="TOC Heading"/>
    <w:basedOn w:val="857"/>
    <w:next w:val="856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81">
    <w:name w:val="E-mail Signature"/>
    <w:basedOn w:val="856"/>
    <w:link w:val="1082"/>
    <w:uiPriority w:val="99"/>
    <w:unhideWhenUsed/>
    <w:rPr>
      <w:rFonts w:eastAsia="Calibri"/>
      <w:sz w:val="24"/>
      <w:szCs w:val="24"/>
    </w:rPr>
  </w:style>
  <w:style w:type="character" w:styleId="1082" w:customStyle="1">
    <w:name w:val="Электронная подпись Знак"/>
    <w:link w:val="1081"/>
    <w:uiPriority w:val="99"/>
    <w:rPr>
      <w:rFonts w:eastAsia="Calibri"/>
      <w:sz w:val="24"/>
      <w:szCs w:val="24"/>
    </w:rPr>
  </w:style>
  <w:style w:type="paragraph" w:styleId="1083" w:customStyle="1">
    <w:name w:val="Знак"/>
    <w:basedOn w:val="8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4" w:customStyle="1">
    <w:name w:val="Нумерованный список ур3"/>
    <w:basedOn w:val="856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85" w:customStyle="1">
    <w:name w:val="Нумерованный список 1"/>
    <w:basedOn w:val="856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6" w:customStyle="1">
    <w:name w:val="Нумерованный список ур2"/>
    <w:basedOn w:val="856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87">
    <w:name w:val="Revision"/>
    <w:hidden/>
    <w:uiPriority w:val="99"/>
    <w:semiHidden/>
    <w:rPr>
      <w:rFonts w:eastAsia="Calibri"/>
      <w:sz w:val="24"/>
      <w:szCs w:val="24"/>
    </w:rPr>
  </w:style>
  <w:style w:type="paragraph" w:styleId="108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89" w:customStyle="1">
    <w:name w:val="Знак Знак3 Знак Знак"/>
    <w:basedOn w:val="856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90" w:customStyle="1">
    <w:name w:val="Пункт"/>
    <w:basedOn w:val="856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91" w:customStyle="1">
    <w:name w:val="Подпункт Знак1"/>
    <w:link w:val="1035"/>
    <w:rPr>
      <w:sz w:val="28"/>
    </w:rPr>
  </w:style>
  <w:style w:type="paragraph" w:styleId="1092" w:customStyle="1">
    <w:name w:val="Абзац списка1"/>
    <w:basedOn w:val="856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93" w:customStyle="1">
    <w:name w:val="Текст сноски Знак"/>
    <w:link w:val="1019"/>
  </w:style>
  <w:style w:type="numbering" w:styleId="1094" w:customStyle="1">
    <w:name w:val="Стиль1"/>
    <w:uiPriority w:val="99"/>
    <w:pPr>
      <w:numPr>
        <w:ilvl w:val="0"/>
        <w:numId w:val="3"/>
      </w:numPr>
    </w:pPr>
  </w:style>
  <w:style w:type="paragraph" w:styleId="1095" w:customStyle="1">
    <w:name w:val="Таблица"/>
    <w:basedOn w:val="85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96" w:customStyle="1">
    <w:name w:val="Основной текст Знак"/>
    <w:link w:val="1029"/>
    <w:rPr>
      <w:sz w:val="28"/>
      <w:szCs w:val="28"/>
    </w:rPr>
  </w:style>
  <w:style w:type="character" w:styleId="1097" w:customStyle="1">
    <w:name w:val="blk"/>
  </w:style>
  <w:style w:type="numbering" w:styleId="1098" w:customStyle="1">
    <w:name w:val="Стиль2"/>
    <w:uiPriority w:val="99"/>
    <w:pPr>
      <w:numPr>
        <w:ilvl w:val="0"/>
        <w:numId w:val="5"/>
      </w:numPr>
    </w:pPr>
  </w:style>
  <w:style w:type="paragraph" w:styleId="1099" w:customStyle="1">
    <w:name w:val="Таблица шапка"/>
    <w:basedOn w:val="856"/>
    <w:pPr>
      <w:ind w:left="57" w:right="57"/>
      <w:keepNext/>
      <w:spacing w:before="40" w:after="40"/>
    </w:pPr>
    <w:rPr>
      <w:sz w:val="22"/>
      <w:szCs w:val="26"/>
    </w:rPr>
  </w:style>
  <w:style w:type="character" w:styleId="1100" w:customStyle="1">
    <w:name w:val="Абзац списка Знак"/>
    <w:link w:val="1070"/>
    <w:uiPriority w:val="34"/>
    <w:rPr>
      <w:rFonts w:eastAsia="Calibri"/>
      <w:sz w:val="24"/>
      <w:szCs w:val="24"/>
    </w:rPr>
  </w:style>
  <w:style w:type="character" w:styleId="1101" w:customStyle="1">
    <w:name w:val="комментарий"/>
    <w:rPr>
      <w:b/>
      <w:i/>
      <w:shd w:val="clear" w:color="auto" w:fill="ffff99"/>
    </w:rPr>
  </w:style>
  <w:style w:type="paragraph" w:styleId="1102" w:customStyle="1">
    <w:name w:val="Подподпункт"/>
    <w:basedOn w:val="1035"/>
    <w:link w:val="110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103" w:customStyle="1">
    <w:name w:val="Подподпункт Знак"/>
    <w:link w:val="1102"/>
    <w:rPr>
      <w:sz w:val="26"/>
      <w:szCs w:val="26"/>
    </w:rPr>
  </w:style>
  <w:style w:type="paragraph" w:styleId="1104" w:customStyle="1">
    <w:name w:val="УРОВЕНЬ_(а)"/>
    <w:basedOn w:val="107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105" w:customStyle="1">
    <w:name w:val="УРОВЕНЬ_-"/>
    <w:basedOn w:val="107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106" w:customStyle="1">
    <w:name w:val="УРОВЕНЬ_Абзац_тип2"/>
    <w:basedOn w:val="107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07" w:customStyle="1">
    <w:name w:val="УРОВЕНЬ_Абзац_тип3"/>
    <w:basedOn w:val="1070"/>
    <w:link w:val="110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108" w:customStyle="1">
    <w:name w:val="УРОВЕНЬ_Подпись"/>
    <w:basedOn w:val="107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109" w:customStyle="1">
    <w:name w:val="УРОВЕНЬ_Абзац_тип3 Знак"/>
    <w:link w:val="1107"/>
    <w:rPr>
      <w:rFonts w:eastAsia="Calibri"/>
      <w:sz w:val="26"/>
      <w:szCs w:val="28"/>
      <w:lang w:eastAsia="en-US"/>
    </w:rPr>
  </w:style>
  <w:style w:type="character" w:styleId="1110" w:customStyle="1">
    <w:name w:val="Верхний колонтитул Знак"/>
    <w:link w:val="1025"/>
    <w:uiPriority w:val="99"/>
    <w:rPr>
      <w:sz w:val="24"/>
      <w:szCs w:val="24"/>
    </w:rPr>
  </w:style>
  <w:style w:type="character" w:styleId="1111" w:customStyle="1">
    <w:name w:val="Текст примечания Знак"/>
    <w:link w:val="1046"/>
    <w:semiHidden/>
  </w:style>
  <w:style w:type="paragraph" w:styleId="1112" w:customStyle="1">
    <w:name w:val="Стиль Заголовок 1 + по ширине"/>
    <w:basedOn w:val="857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113">
    <w:name w:val="endnote text"/>
    <w:basedOn w:val="856"/>
    <w:link w:val="1114"/>
    <w:rPr>
      <w:sz w:val="20"/>
      <w:szCs w:val="20"/>
    </w:rPr>
  </w:style>
  <w:style w:type="character" w:styleId="1114" w:customStyle="1">
    <w:name w:val="Текст концевой сноски Знак"/>
    <w:basedOn w:val="866"/>
    <w:link w:val="1113"/>
  </w:style>
  <w:style w:type="character" w:styleId="1115">
    <w:name w:val="endnote reference"/>
    <w:basedOn w:val="866"/>
    <w:rPr>
      <w:vertAlign w:val="superscript"/>
    </w:rPr>
  </w:style>
  <w:style w:type="paragraph" w:styleId="1116" w:customStyle="1">
    <w:name w:val="Заголовок 2 КВВ"/>
    <w:basedOn w:val="856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17" w:customStyle="1">
    <w:name w:val="Пункт2 Знак"/>
    <w:link w:val="1036"/>
    <w:rPr>
      <w:b/>
      <w:sz w:val="28"/>
    </w:rPr>
  </w:style>
  <w:style w:type="paragraph" w:styleId="1118" w:customStyle="1">
    <w:name w:val="Таблица текст"/>
    <w:basedOn w:val="856"/>
    <w:pPr>
      <w:ind w:left="57" w:right="57"/>
      <w:spacing w:before="40" w:after="40"/>
    </w:pPr>
    <w:rPr>
      <w:sz w:val="24"/>
      <w:szCs w:val="26"/>
    </w:rPr>
  </w:style>
  <w:style w:type="paragraph" w:styleId="1119">
    <w:name w:val="Normal (Web)"/>
    <w:basedOn w:val="856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20" w:customStyle="1">
    <w:name w:val="УРОВЕНЬ_1."/>
    <w:basedOn w:val="1070"/>
    <w:link w:val="112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21" w:customStyle="1">
    <w:name w:val="УРОВЕНЬ_1. Знак"/>
    <w:link w:val="1120"/>
    <w:rPr>
      <w:rFonts w:eastAsia="Calibri"/>
      <w:caps/>
      <w:sz w:val="28"/>
      <w:szCs w:val="28"/>
      <w:lang w:eastAsia="en-US"/>
    </w:rPr>
  </w:style>
  <w:style w:type="table" w:styleId="1122" w:customStyle="1">
    <w:name w:val="Сетка таблицы1"/>
    <w:basedOn w:val="867"/>
    <w:next w:val="102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3">
    <w:name w:val="toc 6"/>
    <w:basedOn w:val="856"/>
    <w:next w:val="856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24">
    <w:name w:val="toc 7"/>
    <w:basedOn w:val="856"/>
    <w:next w:val="856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25">
    <w:name w:val="toc 8"/>
    <w:basedOn w:val="856"/>
    <w:next w:val="856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126" w:customStyle="1">
    <w:name w:val="Обычный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27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character" w:styleId="1128" w:customStyle="1">
    <w:name w:val="Font Style14"/>
    <w:rPr>
      <w:rFonts w:ascii="Times New Roman" w:hAnsi="Times New Roman"/>
      <w:sz w:val="22"/>
      <w:szCs w:val="22"/>
    </w:rPr>
  </w:style>
  <w:style w:type="paragraph" w:styleId="1129" w:customStyle="1">
    <w:name w:val="Style4"/>
    <w:pPr>
      <w:ind w:firstLine="677"/>
      <w:spacing w:line="280" w:lineRule="exact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Franklin Gothic Medium Cond" w:hAnsi="Franklin Gothic Medium Cond"/>
      <w:sz w:val="24"/>
      <w:szCs w:val="24"/>
    </w:rPr>
  </w:style>
  <w:style w:type="character" w:styleId="1130" w:customStyle="1">
    <w:name w:val="Основной текст (2) + 11;5 pt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styleId="1131" w:customStyle="1">
    <w:name w:val="markdown-word"/>
  </w:style>
  <w:style w:type="character" w:styleId="1132" w:customStyle="1">
    <w:name w:val="Font Style13"/>
    <w:rPr>
      <w:rFonts w:ascii="Times New Roman" w:hAnsi="Times New Roman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hyperlink" Target="http://www.zakupki.gov.ru" TargetMode="External"/><Relationship Id="rId14" Type="http://schemas.openxmlformats.org/officeDocument/2006/relationships/hyperlink" Target="mailto:khalturina-ny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evstratenko_av</cp:lastModifiedBy>
  <cp:revision>20</cp:revision>
  <dcterms:created xsi:type="dcterms:W3CDTF">2025-02-07T04:34:00Z</dcterms:created>
  <dcterms:modified xsi:type="dcterms:W3CDTF">2026-04-08T07:27:01Z</dcterms:modified>
</cp:coreProperties>
</file>